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1A7" w:rsidRDefault="004B21A7"/>
    <w:p w:rsidR="004B21A7" w:rsidRDefault="004B21A7"/>
    <w:p w:rsidR="00EA3EB3" w:rsidRDefault="00EA3EB3">
      <w:r>
        <w:t xml:space="preserve">       </w:t>
      </w:r>
      <w:r w:rsidR="00BB599D">
        <w:rPr>
          <w:noProof/>
          <w:lang w:eastAsia="pl-PL"/>
        </w:rPr>
        <w:drawing>
          <wp:inline distT="0" distB="0" distL="0" distR="0" wp14:anchorId="407F3944" wp14:editId="5CC3CEE8">
            <wp:extent cx="5760720" cy="2986314"/>
            <wp:effectExtent l="0" t="0" r="0" b="5080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A3EB3" w:rsidRDefault="00EA3EB3">
      <w:r>
        <w:t xml:space="preserve">       </w:t>
      </w:r>
      <w:r w:rsidR="00BB599D">
        <w:rPr>
          <w:noProof/>
          <w:lang w:eastAsia="pl-PL"/>
        </w:rPr>
        <w:drawing>
          <wp:inline distT="0" distB="0" distL="0" distR="0" wp14:anchorId="4D427C1E" wp14:editId="13551F1B">
            <wp:extent cx="5760720" cy="3284578"/>
            <wp:effectExtent l="0" t="0" r="0" b="0"/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A3EB3" w:rsidRDefault="00EA3EB3">
      <w:r>
        <w:lastRenderedPageBreak/>
        <w:t xml:space="preserve">  </w:t>
      </w:r>
      <w:r w:rsidR="00BB599D">
        <w:rPr>
          <w:noProof/>
          <w:lang w:eastAsia="pl-PL"/>
        </w:rPr>
        <w:drawing>
          <wp:inline distT="0" distB="0" distL="0" distR="0" wp14:anchorId="3A7008AF" wp14:editId="7F4CBE7D">
            <wp:extent cx="5760720" cy="3156576"/>
            <wp:effectExtent l="0" t="0" r="0" b="6350"/>
            <wp:docPr id="4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t xml:space="preserve">     </w:t>
      </w:r>
    </w:p>
    <w:p w:rsidR="00EA3EB3" w:rsidRDefault="00EA3EB3">
      <w:r>
        <w:t xml:space="preserve">       </w:t>
      </w:r>
    </w:p>
    <w:p w:rsidR="00EA3EB3" w:rsidRDefault="00EA3EB3">
      <w:r>
        <w:t xml:space="preserve">      </w:t>
      </w:r>
    </w:p>
    <w:p w:rsidR="004B21A7" w:rsidRDefault="00EA3EB3">
      <w:r>
        <w:t xml:space="preserve">              </w:t>
      </w:r>
      <w:r w:rsidR="004B21A7">
        <w:t xml:space="preserve">                  </w:t>
      </w:r>
    </w:p>
    <w:p w:rsidR="00EA3EB3" w:rsidRDefault="004B21A7">
      <w:r>
        <w:t xml:space="preserve">     </w:t>
      </w:r>
      <w:r w:rsidR="00BB599D">
        <w:rPr>
          <w:noProof/>
          <w:lang w:eastAsia="pl-PL"/>
        </w:rPr>
        <w:drawing>
          <wp:inline distT="0" distB="0" distL="0" distR="0" wp14:anchorId="3A0346B2" wp14:editId="147B1824">
            <wp:extent cx="5760720" cy="3251506"/>
            <wp:effectExtent l="0" t="0" r="0" b="6350"/>
            <wp:docPr id="7" name="Wykres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06795" w:rsidRDefault="00CE2B60">
      <w:r>
        <w:rPr>
          <w:noProof/>
          <w:lang w:eastAsia="pl-PL"/>
        </w:rPr>
        <w:lastRenderedPageBreak/>
        <w:drawing>
          <wp:inline distT="0" distB="0" distL="0" distR="0" wp14:anchorId="2A4722AC" wp14:editId="6179DEDA">
            <wp:extent cx="5760720" cy="3283585"/>
            <wp:effectExtent l="0" t="0" r="0" b="0"/>
            <wp:docPr id="5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B21A7" w:rsidRDefault="00406795">
      <w:r>
        <w:t xml:space="preserve">              </w:t>
      </w:r>
      <w:r w:rsidR="004B21A7">
        <w:t xml:space="preserve"> </w:t>
      </w:r>
    </w:p>
    <w:p w:rsidR="00406795" w:rsidRDefault="004B21A7">
      <w:r>
        <w:t xml:space="preserve">    </w:t>
      </w:r>
    </w:p>
    <w:p w:rsidR="00BB599D" w:rsidRDefault="00BB599D">
      <w:bookmarkStart w:id="0" w:name="_GoBack"/>
      <w:bookmarkEnd w:id="0"/>
    </w:p>
    <w:sectPr w:rsidR="00BB599D" w:rsidSect="00F0271F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5C3" w:rsidRDefault="00AE25C3" w:rsidP="00EA3EB3">
      <w:pPr>
        <w:spacing w:after="0" w:line="240" w:lineRule="auto"/>
      </w:pPr>
      <w:r>
        <w:separator/>
      </w:r>
    </w:p>
  </w:endnote>
  <w:endnote w:type="continuationSeparator" w:id="0">
    <w:p w:rsidR="00AE25C3" w:rsidRDefault="00AE25C3" w:rsidP="00EA3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56658"/>
      <w:docPartObj>
        <w:docPartGallery w:val="Page Numbers (Bottom of Page)"/>
        <w:docPartUnique/>
      </w:docPartObj>
    </w:sdtPr>
    <w:sdtEndPr/>
    <w:sdtContent>
      <w:p w:rsidR="00EA3EB3" w:rsidRDefault="005E3F1E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7F6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3EB3" w:rsidRDefault="00EA3E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5C3" w:rsidRDefault="00AE25C3" w:rsidP="00EA3EB3">
      <w:pPr>
        <w:spacing w:after="0" w:line="240" w:lineRule="auto"/>
      </w:pPr>
      <w:r>
        <w:separator/>
      </w:r>
    </w:p>
  </w:footnote>
  <w:footnote w:type="continuationSeparator" w:id="0">
    <w:p w:rsidR="00AE25C3" w:rsidRDefault="00AE25C3" w:rsidP="00EA3E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3EB3"/>
    <w:rsid w:val="001703F1"/>
    <w:rsid w:val="00287C2A"/>
    <w:rsid w:val="00327330"/>
    <w:rsid w:val="00406795"/>
    <w:rsid w:val="004A1084"/>
    <w:rsid w:val="004B21A7"/>
    <w:rsid w:val="004B7DDE"/>
    <w:rsid w:val="00503412"/>
    <w:rsid w:val="00556930"/>
    <w:rsid w:val="005E3F1E"/>
    <w:rsid w:val="00655C1F"/>
    <w:rsid w:val="007F4354"/>
    <w:rsid w:val="00A72E4E"/>
    <w:rsid w:val="00A9799D"/>
    <w:rsid w:val="00AD5A29"/>
    <w:rsid w:val="00AE25C3"/>
    <w:rsid w:val="00BB599D"/>
    <w:rsid w:val="00BE7F64"/>
    <w:rsid w:val="00C55E7A"/>
    <w:rsid w:val="00CE2B60"/>
    <w:rsid w:val="00CF5E3A"/>
    <w:rsid w:val="00D55DB4"/>
    <w:rsid w:val="00EA3EB3"/>
    <w:rsid w:val="00F0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C37296-29AD-4B65-96E1-83E9D5E7D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27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3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3EB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EA3E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A3EB3"/>
  </w:style>
  <w:style w:type="paragraph" w:styleId="Stopka">
    <w:name w:val="footer"/>
    <w:basedOn w:val="Normalny"/>
    <w:link w:val="StopkaZnak"/>
    <w:uiPriority w:val="99"/>
    <w:unhideWhenUsed/>
    <w:rsid w:val="00EA3E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3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chart" Target="charts/chart5.xml"/><Relationship Id="rId4" Type="http://schemas.openxmlformats.org/officeDocument/2006/relationships/footnotes" Target="footnote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WYPADKI\WYKRESY%20wypadki%201999-2017\zestawienie%20roczne%20od%202000%20do%202014%20i%202016%202017%20WYKRESY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WYPADKI\WYKRESY%20wypadki%201999-2017\zestawienie%20roczne%20od%202000%20do%202014%20i%202016%202017%20WYKRESY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Excel1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F:\WYPADKI\WYKRESY%20wypadki%201999-2017\zestawienie%20roczne%20od%202000%20do%202014%20i%202016%202017%20WYKRESY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r>
              <a:rPr lang="pl-PL"/>
              <a:t>Wypadki na drogach krajowych</a:t>
            </a:r>
          </a:p>
        </c:rich>
      </c:tx>
      <c:layout>
        <c:manualLayout>
          <c:xMode val="edge"/>
          <c:yMode val="edge"/>
          <c:x val="0.22717149391413791"/>
          <c:y val="3.5970984396181245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291759465478842"/>
          <c:y val="0.24820143884892087"/>
          <c:w val="0.83964365256124718"/>
          <c:h val="0.561151079136690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'zestawienie od 2000-2017'!$P$1:$P$2</c:f>
              <c:strCache>
                <c:ptCount val="1"/>
                <c:pt idx="0">
                  <c:v>wypadki 581</c:v>
                </c:pt>
              </c:strCache>
            </c:strRef>
          </c:tx>
          <c:spPr>
            <a:solidFill>
              <a:srgbClr val="8000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E"/>
                    <a:ea typeface="Arial CE"/>
                    <a:cs typeface="Arial CE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'zestawienie od 2000-2017'!$O$3:$O$21</c:f>
              <c:numCache>
                <c:formatCode>General</c:formatCode>
                <c:ptCount val="19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</c:v>
                </c:pt>
                <c:pt idx="15">
                  <c:v>2015</c:v>
                </c:pt>
                <c:pt idx="16">
                  <c:v>2016</c:v>
                </c:pt>
                <c:pt idx="17">
                  <c:v>2017</c:v>
                </c:pt>
                <c:pt idx="18">
                  <c:v>2018</c:v>
                </c:pt>
              </c:numCache>
            </c:numRef>
          </c:cat>
          <c:val>
            <c:numRef>
              <c:f>'zestawienie od 2000-2017'!$P$3:$P$21</c:f>
              <c:numCache>
                <c:formatCode>General</c:formatCode>
                <c:ptCount val="19"/>
                <c:pt idx="0">
                  <c:v>573</c:v>
                </c:pt>
                <c:pt idx="1">
                  <c:v>590</c:v>
                </c:pt>
                <c:pt idx="2">
                  <c:v>565</c:v>
                </c:pt>
                <c:pt idx="3">
                  <c:v>517</c:v>
                </c:pt>
                <c:pt idx="4">
                  <c:v>510</c:v>
                </c:pt>
                <c:pt idx="5">
                  <c:v>441</c:v>
                </c:pt>
                <c:pt idx="6">
                  <c:v>412</c:v>
                </c:pt>
                <c:pt idx="7">
                  <c:v>401</c:v>
                </c:pt>
                <c:pt idx="8">
                  <c:v>440</c:v>
                </c:pt>
                <c:pt idx="9">
                  <c:v>419</c:v>
                </c:pt>
                <c:pt idx="10">
                  <c:v>404</c:v>
                </c:pt>
                <c:pt idx="11">
                  <c:v>354</c:v>
                </c:pt>
                <c:pt idx="12">
                  <c:v>329</c:v>
                </c:pt>
                <c:pt idx="13">
                  <c:v>296</c:v>
                </c:pt>
                <c:pt idx="14">
                  <c:v>298</c:v>
                </c:pt>
                <c:pt idx="15">
                  <c:v>265</c:v>
                </c:pt>
                <c:pt idx="16">
                  <c:v>286</c:v>
                </c:pt>
                <c:pt idx="17">
                  <c:v>302</c:v>
                </c:pt>
                <c:pt idx="18">
                  <c:v>249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7073536"/>
        <c:axId val="167073928"/>
      </c:barChart>
      <c:catAx>
        <c:axId val="1670735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endParaRPr lang="pl-PL"/>
          </a:p>
        </c:txPr>
        <c:crossAx val="1670739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67073928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endParaRPr lang="pl-PL"/>
          </a:p>
        </c:txPr>
        <c:crossAx val="167073536"/>
        <c:crosses val="autoZero"/>
        <c:crossBetween val="between"/>
      </c:valAx>
      <c:spPr>
        <a:solidFill>
          <a:srgbClr val="FFFFCC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175" b="0" i="0" u="none" strike="noStrike" baseline="0">
          <a:solidFill>
            <a:srgbClr val="000000"/>
          </a:solidFill>
          <a:latin typeface="Arial CE"/>
          <a:ea typeface="Arial CE"/>
          <a:cs typeface="Arial CE"/>
        </a:defRPr>
      </a:pPr>
      <a:endParaRPr lang="pl-PL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r>
              <a:rPr lang="pl-PL"/>
              <a:t>Ofiary - zabici ogółem na drogach krajowych </a:t>
            </a:r>
          </a:p>
        </c:rich>
      </c:tx>
      <c:layout>
        <c:manualLayout>
          <c:xMode val="edge"/>
          <c:yMode val="edge"/>
          <c:x val="0.18292671360005233"/>
          <c:y val="4.0816377952755903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1707317073170732"/>
          <c:y val="0.34693877551020408"/>
          <c:w val="0.84878048780487803"/>
          <c:h val="0.4367346938775510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'zestawienie od 2000-2017'!$Z$1</c:f>
              <c:strCache>
                <c:ptCount val="1"/>
                <c:pt idx="0">
                  <c:v>zabici </c:v>
                </c:pt>
              </c:strCache>
            </c:strRef>
          </c:tx>
          <c:spPr>
            <a:solidFill>
              <a:srgbClr val="8000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700" b="1" i="0" u="none" strike="noStrike" baseline="0">
                    <a:solidFill>
                      <a:srgbClr val="000000"/>
                    </a:solidFill>
                    <a:latin typeface="Arial CE"/>
                    <a:ea typeface="Arial CE"/>
                    <a:cs typeface="Arial CE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'zestawienie od 2000-2017'!$Y$3:$Y$21</c:f>
              <c:numCache>
                <c:formatCode>General</c:formatCode>
                <c:ptCount val="19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</c:v>
                </c:pt>
                <c:pt idx="15">
                  <c:v>2015</c:v>
                </c:pt>
                <c:pt idx="16">
                  <c:v>2016</c:v>
                </c:pt>
                <c:pt idx="17">
                  <c:v>2017</c:v>
                </c:pt>
                <c:pt idx="18">
                  <c:v>2018</c:v>
                </c:pt>
              </c:numCache>
            </c:numRef>
          </c:cat>
          <c:val>
            <c:numRef>
              <c:f>'zestawienie od 2000-2017'!$Z$3:$Z$21</c:f>
              <c:numCache>
                <c:formatCode>General</c:formatCode>
                <c:ptCount val="19"/>
                <c:pt idx="0">
                  <c:v>102</c:v>
                </c:pt>
                <c:pt idx="1">
                  <c:v>103</c:v>
                </c:pt>
                <c:pt idx="2">
                  <c:v>126</c:v>
                </c:pt>
                <c:pt idx="3">
                  <c:v>91</c:v>
                </c:pt>
                <c:pt idx="4">
                  <c:v>97</c:v>
                </c:pt>
                <c:pt idx="5">
                  <c:v>92</c:v>
                </c:pt>
                <c:pt idx="6">
                  <c:v>93</c:v>
                </c:pt>
                <c:pt idx="7">
                  <c:v>113</c:v>
                </c:pt>
                <c:pt idx="8">
                  <c:v>109</c:v>
                </c:pt>
                <c:pt idx="9">
                  <c:v>66</c:v>
                </c:pt>
                <c:pt idx="10">
                  <c:v>82</c:v>
                </c:pt>
                <c:pt idx="11">
                  <c:v>65</c:v>
                </c:pt>
                <c:pt idx="12">
                  <c:v>67</c:v>
                </c:pt>
                <c:pt idx="13">
                  <c:v>48</c:v>
                </c:pt>
                <c:pt idx="14">
                  <c:v>56</c:v>
                </c:pt>
                <c:pt idx="15">
                  <c:v>38</c:v>
                </c:pt>
                <c:pt idx="16">
                  <c:v>41</c:v>
                </c:pt>
                <c:pt idx="17">
                  <c:v>41</c:v>
                </c:pt>
                <c:pt idx="18">
                  <c:v>43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3958456"/>
        <c:axId val="223957280"/>
      </c:barChart>
      <c:catAx>
        <c:axId val="2239584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endParaRPr lang="pl-PL"/>
          </a:p>
        </c:txPr>
        <c:crossAx val="2239572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23957280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endParaRPr lang="pl-PL"/>
          </a:p>
        </c:txPr>
        <c:crossAx val="223958456"/>
        <c:crosses val="autoZero"/>
        <c:crossBetween val="between"/>
      </c:valAx>
      <c:spPr>
        <a:solidFill>
          <a:srgbClr val="FFFFCC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75" b="0" i="0" u="none" strike="noStrike" baseline="0">
          <a:solidFill>
            <a:srgbClr val="000000"/>
          </a:solidFill>
          <a:latin typeface="Arial CE"/>
          <a:ea typeface="Arial CE"/>
          <a:cs typeface="Arial CE"/>
        </a:defRPr>
      </a:pPr>
      <a:endParaRPr lang="pl-PL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r>
              <a:rPr lang="pl-PL"/>
              <a:t>Ofiary - ranni ogółem na drogach krajowych</a:t>
            </a:r>
          </a:p>
        </c:rich>
      </c:tx>
      <c:layout>
        <c:manualLayout>
          <c:xMode val="edge"/>
          <c:yMode val="edge"/>
          <c:x val="0.11238552194550341"/>
          <c:y val="5.1942327584387077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2614693026417614"/>
          <c:y val="0.26229560686076553"/>
          <c:w val="0.8417440619445935"/>
          <c:h val="0.5204928448643315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'zestawienie od 2000-2017'!$AL$1</c:f>
              <c:strCache>
                <c:ptCount val="1"/>
                <c:pt idx="0">
                  <c:v>ranni</c:v>
                </c:pt>
              </c:strCache>
            </c:strRef>
          </c:tx>
          <c:spPr>
            <a:solidFill>
              <a:srgbClr val="8000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700" b="1" i="0" u="none" strike="noStrike" baseline="0">
                    <a:solidFill>
                      <a:srgbClr val="000000"/>
                    </a:solidFill>
                    <a:latin typeface="Arial CE"/>
                    <a:ea typeface="Arial CE"/>
                    <a:cs typeface="Arial CE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'zestawienie od 2000-2017'!$AK$2:$AK$21</c:f>
              <c:numCache>
                <c:formatCode>General</c:formatCode>
                <c:ptCount val="20"/>
                <c:pt idx="0">
                  <c:v>1999</c:v>
                </c:pt>
                <c:pt idx="1">
                  <c:v>2000</c:v>
                </c:pt>
                <c:pt idx="2">
                  <c:v>2001</c:v>
                </c:pt>
                <c:pt idx="3">
                  <c:v>2002</c:v>
                </c:pt>
                <c:pt idx="4">
                  <c:v>2003</c:v>
                </c:pt>
                <c:pt idx="5">
                  <c:v>2004</c:v>
                </c:pt>
                <c:pt idx="6">
                  <c:v>2005</c:v>
                </c:pt>
                <c:pt idx="7">
                  <c:v>2006</c:v>
                </c:pt>
                <c:pt idx="8">
                  <c:v>2007</c:v>
                </c:pt>
                <c:pt idx="9">
                  <c:v>2008</c:v>
                </c:pt>
                <c:pt idx="10">
                  <c:v>2009</c:v>
                </c:pt>
                <c:pt idx="11">
                  <c:v>2010</c:v>
                </c:pt>
                <c:pt idx="12">
                  <c:v>2011</c:v>
                </c:pt>
                <c:pt idx="13">
                  <c:v>2012</c:v>
                </c:pt>
                <c:pt idx="14">
                  <c:v>2013</c:v>
                </c:pt>
                <c:pt idx="15">
                  <c:v>2014</c:v>
                </c:pt>
                <c:pt idx="16">
                  <c:v>2015</c:v>
                </c:pt>
                <c:pt idx="17">
                  <c:v>2016</c:v>
                </c:pt>
                <c:pt idx="18">
                  <c:v>2017</c:v>
                </c:pt>
                <c:pt idx="19">
                  <c:v>2018</c:v>
                </c:pt>
              </c:numCache>
            </c:numRef>
          </c:cat>
          <c:val>
            <c:numRef>
              <c:f>'zestawienie od 2000-2017'!$AL$2:$AL$21</c:f>
              <c:numCache>
                <c:formatCode>General</c:formatCode>
                <c:ptCount val="20"/>
                <c:pt idx="0">
                  <c:v>768</c:v>
                </c:pt>
                <c:pt idx="1">
                  <c:v>750</c:v>
                </c:pt>
                <c:pt idx="2">
                  <c:v>824</c:v>
                </c:pt>
                <c:pt idx="3">
                  <c:v>769</c:v>
                </c:pt>
                <c:pt idx="4">
                  <c:v>715</c:v>
                </c:pt>
                <c:pt idx="5">
                  <c:v>717</c:v>
                </c:pt>
                <c:pt idx="6">
                  <c:v>608</c:v>
                </c:pt>
                <c:pt idx="7">
                  <c:v>543</c:v>
                </c:pt>
                <c:pt idx="8">
                  <c:v>510</c:v>
                </c:pt>
                <c:pt idx="9">
                  <c:v>573</c:v>
                </c:pt>
                <c:pt idx="10">
                  <c:v>583</c:v>
                </c:pt>
                <c:pt idx="11">
                  <c:v>541</c:v>
                </c:pt>
                <c:pt idx="12">
                  <c:v>612</c:v>
                </c:pt>
                <c:pt idx="13">
                  <c:v>441</c:v>
                </c:pt>
                <c:pt idx="14">
                  <c:v>389</c:v>
                </c:pt>
                <c:pt idx="15">
                  <c:v>400</c:v>
                </c:pt>
                <c:pt idx="16">
                  <c:v>356</c:v>
                </c:pt>
                <c:pt idx="17">
                  <c:v>428</c:v>
                </c:pt>
                <c:pt idx="18">
                  <c:v>391</c:v>
                </c:pt>
                <c:pt idx="19">
                  <c:v>318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5676064"/>
        <c:axId val="135676848"/>
      </c:barChart>
      <c:catAx>
        <c:axId val="1356760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endParaRPr lang="pl-PL"/>
          </a:p>
        </c:txPr>
        <c:crossAx val="1356768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35676848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endParaRPr lang="pl-PL"/>
          </a:p>
        </c:txPr>
        <c:crossAx val="135676064"/>
        <c:crosses val="autoZero"/>
        <c:crossBetween val="between"/>
      </c:valAx>
      <c:spPr>
        <a:solidFill>
          <a:srgbClr val="FFFFCC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125" b="0" i="0" u="none" strike="noStrike" baseline="0">
          <a:solidFill>
            <a:srgbClr val="000000"/>
          </a:solidFill>
          <a:latin typeface="Arial CE"/>
          <a:ea typeface="Arial CE"/>
          <a:cs typeface="Arial CE"/>
        </a:defRPr>
      </a:pPr>
      <a:endParaRPr lang="pl-PL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r>
              <a:rPr lang="pl-PL"/>
              <a:t>Ofiary - zabici piesi na drogach krajowych</a:t>
            </a:r>
          </a:p>
        </c:rich>
      </c:tx>
      <c:layout>
        <c:manualLayout>
          <c:xMode val="edge"/>
          <c:yMode val="edge"/>
          <c:x val="0.18421049623851452"/>
          <c:y val="4.109587108063105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0789473684210527"/>
          <c:y val="0.38356335421729726"/>
          <c:w val="0.85526315789473684"/>
          <c:h val="0.4109607366613899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'zestawienie od 2000-2017'!$AX$1</c:f>
              <c:strCache>
                <c:ptCount val="1"/>
                <c:pt idx="0">
                  <c:v>zabici piesi</c:v>
                </c:pt>
              </c:strCache>
            </c:strRef>
          </c:tx>
          <c:spPr>
            <a:solidFill>
              <a:srgbClr val="8000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50" b="1" i="0" u="none" strike="noStrike" baseline="0">
                    <a:solidFill>
                      <a:srgbClr val="000000"/>
                    </a:solidFill>
                    <a:latin typeface="Arial CE"/>
                    <a:ea typeface="Arial CE"/>
                    <a:cs typeface="Arial CE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'zestawienie od 2000-2017'!$AW$2:$AW$21</c:f>
              <c:numCache>
                <c:formatCode>General</c:formatCode>
                <c:ptCount val="20"/>
                <c:pt idx="0">
                  <c:v>1999</c:v>
                </c:pt>
                <c:pt idx="1">
                  <c:v>2000</c:v>
                </c:pt>
                <c:pt idx="2">
                  <c:v>2001</c:v>
                </c:pt>
                <c:pt idx="3">
                  <c:v>2002</c:v>
                </c:pt>
                <c:pt idx="4">
                  <c:v>2003</c:v>
                </c:pt>
                <c:pt idx="5">
                  <c:v>2004</c:v>
                </c:pt>
                <c:pt idx="6">
                  <c:v>2005</c:v>
                </c:pt>
                <c:pt idx="7">
                  <c:v>2006</c:v>
                </c:pt>
                <c:pt idx="8">
                  <c:v>2007</c:v>
                </c:pt>
                <c:pt idx="9">
                  <c:v>2008</c:v>
                </c:pt>
                <c:pt idx="10">
                  <c:v>2009</c:v>
                </c:pt>
                <c:pt idx="11">
                  <c:v>2010</c:v>
                </c:pt>
                <c:pt idx="12">
                  <c:v>2011</c:v>
                </c:pt>
                <c:pt idx="13">
                  <c:v>2012</c:v>
                </c:pt>
                <c:pt idx="14">
                  <c:v>2013</c:v>
                </c:pt>
                <c:pt idx="15">
                  <c:v>2014</c:v>
                </c:pt>
                <c:pt idx="16">
                  <c:v>2015</c:v>
                </c:pt>
                <c:pt idx="17">
                  <c:v>2016</c:v>
                </c:pt>
                <c:pt idx="18">
                  <c:v>2017</c:v>
                </c:pt>
                <c:pt idx="19">
                  <c:v>2018</c:v>
                </c:pt>
              </c:numCache>
            </c:numRef>
          </c:cat>
          <c:val>
            <c:numRef>
              <c:f>'zestawienie od 2000-2017'!$AX$2:$AX$21</c:f>
              <c:numCache>
                <c:formatCode>General</c:formatCode>
                <c:ptCount val="20"/>
                <c:pt idx="0">
                  <c:v>43</c:v>
                </c:pt>
                <c:pt idx="1">
                  <c:v>37</c:v>
                </c:pt>
                <c:pt idx="2">
                  <c:v>29</c:v>
                </c:pt>
                <c:pt idx="3">
                  <c:v>47</c:v>
                </c:pt>
                <c:pt idx="4">
                  <c:v>33</c:v>
                </c:pt>
                <c:pt idx="5">
                  <c:v>39</c:v>
                </c:pt>
                <c:pt idx="6">
                  <c:v>38</c:v>
                </c:pt>
                <c:pt idx="7">
                  <c:v>36</c:v>
                </c:pt>
                <c:pt idx="8">
                  <c:v>44</c:v>
                </c:pt>
                <c:pt idx="9">
                  <c:v>41</c:v>
                </c:pt>
                <c:pt idx="10">
                  <c:v>40</c:v>
                </c:pt>
                <c:pt idx="11">
                  <c:v>36</c:v>
                </c:pt>
                <c:pt idx="12">
                  <c:v>26</c:v>
                </c:pt>
                <c:pt idx="13">
                  <c:v>24</c:v>
                </c:pt>
                <c:pt idx="14">
                  <c:v>19</c:v>
                </c:pt>
                <c:pt idx="15">
                  <c:v>23</c:v>
                </c:pt>
                <c:pt idx="16">
                  <c:v>15</c:v>
                </c:pt>
                <c:pt idx="17">
                  <c:v>12</c:v>
                </c:pt>
                <c:pt idx="18">
                  <c:v>17</c:v>
                </c:pt>
                <c:pt idx="19">
                  <c:v>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5675280"/>
        <c:axId val="216960016"/>
      </c:barChart>
      <c:catAx>
        <c:axId val="1356752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endParaRPr lang="pl-PL"/>
          </a:p>
        </c:txPr>
        <c:crossAx val="2169600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16960016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endParaRPr lang="pl-PL"/>
          </a:p>
        </c:txPr>
        <c:crossAx val="135675280"/>
        <c:crosses val="autoZero"/>
        <c:crossBetween val="between"/>
      </c:valAx>
      <c:spPr>
        <a:solidFill>
          <a:srgbClr val="FFFFCC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 CE"/>
          <a:ea typeface="Arial CE"/>
          <a:cs typeface="Arial CE"/>
        </a:defRPr>
      </a:pPr>
      <a:endParaRPr lang="pl-PL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r>
              <a:rPr lang="pl-PL"/>
              <a:t>Ofiary - ranni piesi na drogach krajowych</a:t>
            </a:r>
          </a:p>
        </c:rich>
      </c:tx>
      <c:layout>
        <c:manualLayout>
          <c:xMode val="edge"/>
          <c:yMode val="edge"/>
          <c:x val="0.11347536956941415"/>
          <c:y val="3.6529818799388047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3711615579786263"/>
          <c:y val="0.25114267240418275"/>
          <c:w val="0.82978914974223772"/>
          <c:h val="0.5068515752157142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'zestawienie od 2000-2017'!$BJ$1</c:f>
              <c:strCache>
                <c:ptCount val="1"/>
                <c:pt idx="0">
                  <c:v>ranni piesi</c:v>
                </c:pt>
              </c:strCache>
            </c:strRef>
          </c:tx>
          <c:spPr>
            <a:solidFill>
              <a:srgbClr val="8000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 CE"/>
                    <a:ea typeface="Arial CE"/>
                    <a:cs typeface="Arial CE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'zestawienie od 2000-2017'!$BI$2:$BI$21</c:f>
              <c:numCache>
                <c:formatCode>General</c:formatCode>
                <c:ptCount val="20"/>
                <c:pt idx="0">
                  <c:v>1999</c:v>
                </c:pt>
                <c:pt idx="1">
                  <c:v>2000</c:v>
                </c:pt>
                <c:pt idx="2">
                  <c:v>2001</c:v>
                </c:pt>
                <c:pt idx="3">
                  <c:v>2002</c:v>
                </c:pt>
                <c:pt idx="4">
                  <c:v>2003</c:v>
                </c:pt>
                <c:pt idx="5">
                  <c:v>2004</c:v>
                </c:pt>
                <c:pt idx="6">
                  <c:v>2005</c:v>
                </c:pt>
                <c:pt idx="7">
                  <c:v>2006</c:v>
                </c:pt>
                <c:pt idx="8">
                  <c:v>2007</c:v>
                </c:pt>
                <c:pt idx="9">
                  <c:v>2008</c:v>
                </c:pt>
                <c:pt idx="10">
                  <c:v>2009</c:v>
                </c:pt>
                <c:pt idx="11">
                  <c:v>2010</c:v>
                </c:pt>
                <c:pt idx="12">
                  <c:v>2011</c:v>
                </c:pt>
                <c:pt idx="13">
                  <c:v>2012</c:v>
                </c:pt>
                <c:pt idx="14">
                  <c:v>2013</c:v>
                </c:pt>
                <c:pt idx="15">
                  <c:v>2014</c:v>
                </c:pt>
                <c:pt idx="16">
                  <c:v>2015</c:v>
                </c:pt>
                <c:pt idx="17">
                  <c:v>2016</c:v>
                </c:pt>
                <c:pt idx="18">
                  <c:v>2017</c:v>
                </c:pt>
                <c:pt idx="19">
                  <c:v>2018</c:v>
                </c:pt>
              </c:numCache>
            </c:numRef>
          </c:cat>
          <c:val>
            <c:numRef>
              <c:f>'zestawienie od 2000-2017'!$BJ$2:$BJ$21</c:f>
              <c:numCache>
                <c:formatCode>General</c:formatCode>
                <c:ptCount val="20"/>
                <c:pt idx="0">
                  <c:v>145</c:v>
                </c:pt>
                <c:pt idx="1">
                  <c:v>130</c:v>
                </c:pt>
                <c:pt idx="2">
                  <c:v>103</c:v>
                </c:pt>
                <c:pt idx="3">
                  <c:v>112</c:v>
                </c:pt>
                <c:pt idx="4">
                  <c:v>97</c:v>
                </c:pt>
                <c:pt idx="5">
                  <c:v>82</c:v>
                </c:pt>
                <c:pt idx="6">
                  <c:v>73</c:v>
                </c:pt>
                <c:pt idx="7">
                  <c:v>63</c:v>
                </c:pt>
                <c:pt idx="8">
                  <c:v>59</c:v>
                </c:pt>
                <c:pt idx="9">
                  <c:v>88</c:v>
                </c:pt>
                <c:pt idx="10">
                  <c:v>91</c:v>
                </c:pt>
                <c:pt idx="11">
                  <c:v>87</c:v>
                </c:pt>
                <c:pt idx="12">
                  <c:v>85</c:v>
                </c:pt>
                <c:pt idx="13">
                  <c:v>47</c:v>
                </c:pt>
                <c:pt idx="14">
                  <c:v>34</c:v>
                </c:pt>
                <c:pt idx="15">
                  <c:v>20</c:v>
                </c:pt>
                <c:pt idx="16">
                  <c:v>32</c:v>
                </c:pt>
                <c:pt idx="17">
                  <c:v>28</c:v>
                </c:pt>
                <c:pt idx="18">
                  <c:v>29</c:v>
                </c:pt>
                <c:pt idx="19">
                  <c:v>28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6505928"/>
        <c:axId val="167843536"/>
      </c:barChart>
      <c:catAx>
        <c:axId val="166505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endParaRPr lang="pl-PL"/>
          </a:p>
        </c:txPr>
        <c:crossAx val="1678435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67843536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endParaRPr lang="pl-PL"/>
          </a:p>
        </c:txPr>
        <c:crossAx val="166505928"/>
        <c:crosses val="autoZero"/>
        <c:crossBetween val="between"/>
      </c:valAx>
      <c:spPr>
        <a:solidFill>
          <a:srgbClr val="FFFFCC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 CE"/>
          <a:ea typeface="Arial CE"/>
          <a:cs typeface="Arial CE"/>
        </a:defRPr>
      </a:pPr>
      <a:endParaRPr lang="pl-P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15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ipodsiadlo</dc:creator>
  <cp:lastModifiedBy>Pawelec-Buras Małgorzata</cp:lastModifiedBy>
  <cp:revision>15</cp:revision>
  <cp:lastPrinted>2018-10-10T10:50:00Z</cp:lastPrinted>
  <dcterms:created xsi:type="dcterms:W3CDTF">2013-11-26T09:34:00Z</dcterms:created>
  <dcterms:modified xsi:type="dcterms:W3CDTF">2019-04-15T14:32:00Z</dcterms:modified>
</cp:coreProperties>
</file>