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2B3" w:rsidRDefault="004B32B3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Przedmiotem zamówienia jest wykonanie prac geodezyjnych, geodezyjno-prawnych, regulacji stanów prawnych na nieruchomościach, będących w pasie drogowym dróg krajowych, ekspresowych i autostrad na terenie województwa lubuskiego </w:t>
      </w:r>
      <w:r>
        <w:rPr>
          <w:rFonts w:ascii="Verdana" w:hAnsi="Verdana"/>
          <w:sz w:val="20"/>
          <w:szCs w:val="20"/>
        </w:rPr>
        <w:br/>
        <w:t>a w szczególności na: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3,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2, 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12,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32,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29,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31,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92,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22,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24,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27,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18,  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ekspresowej S3,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autostradzie</w:t>
      </w:r>
      <w:proofErr w:type="gramEnd"/>
      <w:r>
        <w:rPr>
          <w:rFonts w:ascii="Verdana" w:hAnsi="Verdana"/>
          <w:sz w:val="20"/>
          <w:szCs w:val="20"/>
        </w:rPr>
        <w:t xml:space="preserve"> A2.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oraz</w:t>
      </w:r>
      <w:proofErr w:type="gramEnd"/>
      <w:r>
        <w:rPr>
          <w:rFonts w:ascii="Verdana" w:hAnsi="Verdana"/>
          <w:sz w:val="20"/>
          <w:szCs w:val="20"/>
        </w:rPr>
        <w:t xml:space="preserve"> na gruntach nie przeznaczonych pod pasy drogowe będące we władaniu Generalnej Dyrekcji Dróg Krajowych i Autostrad Oddział Zielona Góra</w:t>
      </w:r>
      <w:r w:rsidR="00E74BB6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zwanej w dalszej części GDDKiA lub Zamawiający.</w:t>
      </w:r>
    </w:p>
    <w:p w:rsidR="004B32B3" w:rsidRDefault="004B32B3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4B32B3" w:rsidRDefault="004B32B3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Prace geodezyjne polegać będą na:</w:t>
      </w:r>
    </w:p>
    <w:p w:rsidR="004B32B3" w:rsidRDefault="004B32B3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1. Podziale nieruchomości </w:t>
      </w: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Podziały nieruchomości dokonywane będą na gruntach zajętych pod pasy drogowe oraz terenach zbędnych na cele drogowe. </w:t>
      </w: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Prace geodezyjno-prawne </w:t>
      </w:r>
      <w:r>
        <w:rPr>
          <w:rFonts w:ascii="Verdana" w:hAnsi="Verdana"/>
          <w:sz w:val="20"/>
          <w:szCs w:val="20"/>
        </w:rPr>
        <w:t>powinny być poprzedzone:</w:t>
      </w:r>
    </w:p>
    <w:p w:rsidR="004B32B3" w:rsidRDefault="00A7326D">
      <w:pPr>
        <w:pStyle w:val="Akapitzlist"/>
        <w:numPr>
          <w:ilvl w:val="0"/>
          <w:numId w:val="6"/>
        </w:numPr>
        <w:spacing w:line="288" w:lineRule="auto"/>
        <w:ind w:left="425" w:hanging="425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zgłoszeniem</w:t>
      </w:r>
      <w:proofErr w:type="gramEnd"/>
      <w:r>
        <w:rPr>
          <w:rFonts w:ascii="Verdana" w:hAnsi="Verdana"/>
          <w:sz w:val="20"/>
          <w:szCs w:val="20"/>
        </w:rPr>
        <w:t xml:space="preserve"> pracy geodezyjnej do właściwego terytorialnie Ośrodka Dokumentacji Geodezyjnej i Kartograficznej,</w:t>
      </w:r>
    </w:p>
    <w:p w:rsidR="004B32B3" w:rsidRDefault="00A7326D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88" w:lineRule="auto"/>
        <w:ind w:left="425" w:hanging="425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uzyskaniem</w:t>
      </w:r>
      <w:proofErr w:type="gramEnd"/>
      <w:r>
        <w:rPr>
          <w:rFonts w:ascii="Verdana" w:hAnsi="Verdana"/>
          <w:sz w:val="20"/>
          <w:szCs w:val="20"/>
        </w:rPr>
        <w:t xml:space="preserve"> danych dotyczących poziomej osnowy geodezyjnej, mapy zasadniczej, wyników opracowań jednostkowych itp.,</w:t>
      </w:r>
    </w:p>
    <w:p w:rsidR="004B32B3" w:rsidRDefault="00E74BB6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88" w:lineRule="auto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analiza</w:t>
      </w:r>
      <w:proofErr w:type="gramEnd"/>
      <w:r>
        <w:rPr>
          <w:rFonts w:ascii="Verdana" w:hAnsi="Verdana"/>
          <w:sz w:val="20"/>
          <w:szCs w:val="20"/>
        </w:rPr>
        <w:t xml:space="preserve"> materiałów otrzymanych z państwowego zasobu geodezyjnego oraz </w:t>
      </w:r>
      <w:r w:rsidR="00A7326D">
        <w:rPr>
          <w:rFonts w:ascii="Verdana" w:hAnsi="Verdana"/>
          <w:sz w:val="20"/>
          <w:szCs w:val="20"/>
        </w:rPr>
        <w:t>katastru nieruchomości dotyczących dzielonych nieruchomości,</w:t>
      </w:r>
    </w:p>
    <w:p w:rsidR="004B32B3" w:rsidRDefault="00A7326D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88" w:lineRule="auto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dokonaniem</w:t>
      </w:r>
      <w:proofErr w:type="gramEnd"/>
      <w:r>
        <w:rPr>
          <w:rFonts w:ascii="Verdana" w:hAnsi="Verdana"/>
          <w:sz w:val="20"/>
          <w:szCs w:val="20"/>
        </w:rPr>
        <w:t xml:space="preserve"> we właściwym sądzie badania ksiąg wieczystych (zbioru dokumentów) lub innych dokumentów stwierdzających stan prawny nieruchomości.</w:t>
      </w:r>
    </w:p>
    <w:p w:rsidR="004B32B3" w:rsidRDefault="004B32B3">
      <w:pPr>
        <w:spacing w:line="288" w:lineRule="auto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Punkty załamania nowopowstałej granicy pasa drogowego powinny być wykazane przez Wykonawcę, w uzgodnieniu z GDDKiA, w załączniku mapowym oraz w formie wykazu współrzędnych.</w:t>
      </w: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Granice nieruchomości podlegające podziałowi, powinny zostać ustalone przez Wykonawcę wg ich stanu prawnego. Granicami prawnymi są granice wyznaczone przez punkty, których położenie zostało określone w trybie postępowania:</w:t>
      </w:r>
    </w:p>
    <w:p w:rsidR="004B32B3" w:rsidRDefault="00A7326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lastRenderedPageBreak/>
        <w:t>rozgraniczeniowego</w:t>
      </w:r>
      <w:proofErr w:type="gramEnd"/>
      <w:r>
        <w:rPr>
          <w:rFonts w:ascii="Verdana" w:hAnsi="Verdana"/>
          <w:sz w:val="20"/>
          <w:szCs w:val="20"/>
        </w:rPr>
        <w:t>,</w:t>
      </w:r>
    </w:p>
    <w:p w:rsidR="004B32B3" w:rsidRDefault="00A7326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podziałowego</w:t>
      </w:r>
      <w:proofErr w:type="gramEnd"/>
      <w:r>
        <w:rPr>
          <w:rFonts w:ascii="Verdana" w:hAnsi="Verdana"/>
          <w:sz w:val="20"/>
          <w:szCs w:val="20"/>
        </w:rPr>
        <w:t>,</w:t>
      </w:r>
    </w:p>
    <w:p w:rsidR="004B32B3" w:rsidRDefault="00A7326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scaleniowego</w:t>
      </w:r>
      <w:proofErr w:type="gramEnd"/>
      <w:r>
        <w:rPr>
          <w:rFonts w:ascii="Verdana" w:hAnsi="Verdana"/>
          <w:sz w:val="20"/>
          <w:szCs w:val="20"/>
        </w:rPr>
        <w:t xml:space="preserve"> i podziału nieruchomości (wymiany gruntów),</w:t>
      </w:r>
    </w:p>
    <w:p w:rsidR="004B32B3" w:rsidRDefault="00A7326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innego</w:t>
      </w:r>
      <w:proofErr w:type="gramEnd"/>
      <w:r>
        <w:rPr>
          <w:rFonts w:ascii="Verdana" w:hAnsi="Verdana"/>
          <w:sz w:val="20"/>
          <w:szCs w:val="20"/>
        </w:rPr>
        <w:t xml:space="preserve"> niż wymienionych wyżej, zakończonego decyzją lub uchwałą przenoszącą własność lub decyzją dotyczącą stwierdzenia nabycia własności z mocy prawa,</w:t>
      </w:r>
    </w:p>
    <w:p w:rsidR="004B32B3" w:rsidRDefault="00A7326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sądowego</w:t>
      </w:r>
      <w:proofErr w:type="gramEnd"/>
      <w:r>
        <w:rPr>
          <w:rFonts w:ascii="Verdana" w:hAnsi="Verdana"/>
          <w:sz w:val="20"/>
          <w:szCs w:val="20"/>
        </w:rPr>
        <w:t>,</w:t>
      </w:r>
    </w:p>
    <w:p w:rsidR="004B32B3" w:rsidRDefault="00A7326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dotyczącego</w:t>
      </w:r>
      <w:proofErr w:type="gramEnd"/>
      <w:r>
        <w:rPr>
          <w:rFonts w:ascii="Verdana" w:hAnsi="Verdana"/>
          <w:sz w:val="20"/>
          <w:szCs w:val="20"/>
        </w:rPr>
        <w:t xml:space="preserve"> założenia katastru nieruchomości.</w:t>
      </w: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przypadkach, kiedy nie można stwierdzić stanu prawnego, granice nieruchomości należy przyjąć według stanu uwidocznionego w katastrze nieruchomości. </w:t>
      </w: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Przy wstępnym opracowaniu projektu podziału nieruchomości należy zachować następującą kolejność prac:</w:t>
      </w:r>
    </w:p>
    <w:p w:rsidR="004B32B3" w:rsidRDefault="00A7326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analityczne</w:t>
      </w:r>
      <w:proofErr w:type="gramEnd"/>
      <w:r>
        <w:rPr>
          <w:rFonts w:ascii="Verdana" w:hAnsi="Verdana"/>
          <w:sz w:val="20"/>
          <w:szCs w:val="20"/>
        </w:rPr>
        <w:t xml:space="preserve"> opracowanie projektu podziału (w tym współrzędne punktów granicznych </w:t>
      </w:r>
      <w:r>
        <w:rPr>
          <w:rFonts w:ascii="Verdana" w:hAnsi="Verdana"/>
          <w:sz w:val="20"/>
          <w:szCs w:val="20"/>
        </w:rPr>
        <w:br/>
        <w:t xml:space="preserve">i powierzchnie działek) i jego </w:t>
      </w:r>
      <w:proofErr w:type="spellStart"/>
      <w:r>
        <w:rPr>
          <w:rFonts w:ascii="Verdana" w:hAnsi="Verdana"/>
          <w:sz w:val="20"/>
          <w:szCs w:val="20"/>
        </w:rPr>
        <w:t>wkartowanie</w:t>
      </w:r>
      <w:proofErr w:type="spellEnd"/>
      <w:r>
        <w:rPr>
          <w:rFonts w:ascii="Verdana" w:hAnsi="Verdana"/>
          <w:sz w:val="20"/>
          <w:szCs w:val="20"/>
        </w:rPr>
        <w:t xml:space="preserve"> na mapę,</w:t>
      </w:r>
    </w:p>
    <w:p w:rsidR="004B32B3" w:rsidRDefault="00A7326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wyznaczenie</w:t>
      </w:r>
      <w:proofErr w:type="gramEnd"/>
      <w:r>
        <w:rPr>
          <w:rFonts w:ascii="Verdana" w:hAnsi="Verdana"/>
          <w:sz w:val="20"/>
          <w:szCs w:val="20"/>
        </w:rPr>
        <w:t xml:space="preserve"> projektowanych granic działek w terenie poprzez zamarkowanie nowych punktów granicznych za pomocą palików.</w:t>
      </w:r>
    </w:p>
    <w:p w:rsidR="004B32B3" w:rsidRDefault="00A7326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trike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uzgodnienie</w:t>
      </w:r>
      <w:proofErr w:type="gramEnd"/>
      <w:r>
        <w:rPr>
          <w:rFonts w:ascii="Verdana" w:hAnsi="Verdana"/>
          <w:sz w:val="20"/>
          <w:szCs w:val="20"/>
        </w:rPr>
        <w:t xml:space="preserve"> podczas spotkania w terenie projektu podziału z Zamawiającym.</w:t>
      </w:r>
    </w:p>
    <w:p w:rsidR="004B32B3" w:rsidRDefault="004B32B3">
      <w:pPr>
        <w:spacing w:line="288" w:lineRule="auto"/>
        <w:jc w:val="both"/>
        <w:rPr>
          <w:rFonts w:ascii="Verdana" w:hAnsi="Verdana"/>
          <w:sz w:val="16"/>
          <w:szCs w:val="16"/>
        </w:rPr>
      </w:pP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Projekty podziału nieruchomości powinny zawierać dane dotyczące dzielonej nieruchomości i nowo wydzielanych działek gruntu.</w:t>
      </w: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tabs>
          <w:tab w:val="left" w:pos="357"/>
        </w:tabs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Po uzyskaniu ostatecznej decyzji zatwierdzającej projekt podziału nieruchomości należy wykonać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 xml:space="preserve">geodezyjne wyznaczenie nowo wydzielonych </w:t>
      </w:r>
      <w:r>
        <w:rPr>
          <w:rFonts w:ascii="Verdana" w:hAnsi="Verdana"/>
          <w:sz w:val="20"/>
          <w:szCs w:val="20"/>
        </w:rPr>
        <w:t xml:space="preserve">działek z trwałą stabilizacją znaków granicznych, okazać granicę pasa drogowego GDDKiA i właścicielom nieruchomości </w:t>
      </w:r>
      <w:r w:rsidRPr="00880AE0">
        <w:rPr>
          <w:rFonts w:ascii="Verdana" w:hAnsi="Verdana"/>
          <w:sz w:val="20"/>
          <w:szCs w:val="20"/>
        </w:rPr>
        <w:t>przylegających do pasa drogowego, przestawić znak PD zgodnie z nową granicą działki – pasa drogowego. Sporządzić mapę usytuowania znaków PD zawierającą stan aktualny oraz granice PD przed podziałem (mapa wymaga uzgodnieni</w:t>
      </w:r>
      <w:r w:rsidR="00D06EF8">
        <w:rPr>
          <w:rFonts w:ascii="Verdana" w:hAnsi="Verdana"/>
          <w:sz w:val="20"/>
          <w:szCs w:val="20"/>
        </w:rPr>
        <w:t>a z Z</w:t>
      </w:r>
      <w:r w:rsidRPr="00880AE0">
        <w:rPr>
          <w:rFonts w:ascii="Verdana" w:hAnsi="Verdana"/>
          <w:sz w:val="20"/>
          <w:szCs w:val="20"/>
        </w:rPr>
        <w:t xml:space="preserve">amawiającym).  </w:t>
      </w:r>
      <w:r w:rsidR="00E74BB6">
        <w:rPr>
          <w:rFonts w:ascii="Verdana" w:hAnsi="Verdana"/>
          <w:sz w:val="20"/>
          <w:szCs w:val="20"/>
        </w:rPr>
        <w:t>Ustalenie granic,</w:t>
      </w:r>
      <w:r w:rsidR="00D06EF8">
        <w:rPr>
          <w:rFonts w:ascii="Verdana" w:hAnsi="Verdana"/>
          <w:sz w:val="20"/>
          <w:szCs w:val="20"/>
        </w:rPr>
        <w:t xml:space="preserve"> </w:t>
      </w:r>
      <w:r w:rsidR="00E74BB6">
        <w:rPr>
          <w:rFonts w:ascii="Verdana" w:hAnsi="Verdana"/>
          <w:sz w:val="20"/>
          <w:szCs w:val="20"/>
        </w:rPr>
        <w:t xml:space="preserve">wyznaczenie punktów granicznych oraz ich stabilizacja </w:t>
      </w:r>
      <w:r w:rsidR="00D06EF8">
        <w:rPr>
          <w:rFonts w:ascii="Verdana" w:hAnsi="Verdana"/>
          <w:sz w:val="20"/>
          <w:szCs w:val="20"/>
        </w:rPr>
        <w:t xml:space="preserve">muszą być </w:t>
      </w:r>
      <w:r w:rsidRPr="00880AE0">
        <w:rPr>
          <w:rFonts w:ascii="Verdana" w:hAnsi="Verdana"/>
          <w:sz w:val="20"/>
          <w:szCs w:val="20"/>
        </w:rPr>
        <w:t>wykonan</w:t>
      </w:r>
      <w:r w:rsidR="00D06EF8">
        <w:rPr>
          <w:rFonts w:ascii="Verdana" w:hAnsi="Verdana"/>
          <w:sz w:val="20"/>
          <w:szCs w:val="20"/>
        </w:rPr>
        <w:t>e</w:t>
      </w:r>
      <w:r w:rsidRPr="00880AE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przez geodet</w:t>
      </w:r>
      <w:r>
        <w:rPr>
          <w:rFonts w:ascii="Verdana" w:eastAsia="TimesNewRoman" w:hAnsi="Verdana"/>
          <w:sz w:val="20"/>
          <w:szCs w:val="20"/>
        </w:rPr>
        <w:t xml:space="preserve">ę </w:t>
      </w:r>
      <w:r>
        <w:rPr>
          <w:rFonts w:ascii="Verdana" w:hAnsi="Verdana"/>
          <w:sz w:val="20"/>
          <w:szCs w:val="20"/>
        </w:rPr>
        <w:t>uprawnionego.</w:t>
      </w:r>
    </w:p>
    <w:p w:rsidR="004B32B3" w:rsidRDefault="00A7326D">
      <w:pPr>
        <w:tabs>
          <w:tab w:val="left" w:pos="0"/>
        </w:tabs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 trwałej stabilizacji geodezyjnych punktów granicznych pasa drogowego należy użyć geodezyjnych </w:t>
      </w:r>
      <w:proofErr w:type="spellStart"/>
      <w:r>
        <w:rPr>
          <w:rFonts w:ascii="Verdana" w:hAnsi="Verdana"/>
          <w:sz w:val="20"/>
          <w:szCs w:val="20"/>
        </w:rPr>
        <w:t>graniczników</w:t>
      </w:r>
      <w:proofErr w:type="spellEnd"/>
      <w:r>
        <w:rPr>
          <w:rFonts w:ascii="Verdana" w:hAnsi="Verdana"/>
          <w:sz w:val="20"/>
          <w:szCs w:val="20"/>
        </w:rPr>
        <w:t xml:space="preserve"> betonowych z krzyżem na górnej poziomej ściance.</w:t>
      </w: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Stabilizacji podlegają wszystkie punkty </w:t>
      </w:r>
      <w:r w:rsidR="00E74BB6">
        <w:rPr>
          <w:rFonts w:ascii="Verdana" w:hAnsi="Verdana"/>
          <w:sz w:val="20"/>
          <w:szCs w:val="20"/>
        </w:rPr>
        <w:t xml:space="preserve">załamania </w:t>
      </w:r>
      <w:r>
        <w:rPr>
          <w:rFonts w:ascii="Verdana" w:hAnsi="Verdana"/>
          <w:sz w:val="20"/>
          <w:szCs w:val="20"/>
        </w:rPr>
        <w:t xml:space="preserve">granicy pasa drogowego. Znaki graniczne powinny być wkopane do takiej głębokości, aby wystawały do </w:t>
      </w:r>
      <w:smartTag w:uri="urn:schemas-microsoft-com:office:smarttags" w:element="metricconverter">
        <w:smartTagPr>
          <w:attr w:name="ProductID" w:val="10 cm"/>
        </w:smartTagPr>
        <w:r>
          <w:rPr>
            <w:rFonts w:ascii="Verdana" w:hAnsi="Verdana"/>
            <w:sz w:val="20"/>
            <w:szCs w:val="20"/>
          </w:rPr>
          <w:t>10 cm</w:t>
        </w:r>
      </w:smartTag>
      <w:r>
        <w:rPr>
          <w:rFonts w:ascii="Verdana" w:hAnsi="Verdana"/>
          <w:sz w:val="20"/>
          <w:szCs w:val="20"/>
        </w:rPr>
        <w:t xml:space="preserve"> ponad teren.</w:t>
      </w: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</w:t>
      </w:r>
    </w:p>
    <w:p w:rsidR="004B32B3" w:rsidRDefault="00A7326D">
      <w:pPr>
        <w:tabs>
          <w:tab w:val="left" w:pos="1778"/>
        </w:tabs>
        <w:spacing w:line="288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 zakończonym podziale Wykonawca przekaże Zamawiającemu następujące dokumenty:</w:t>
      </w:r>
    </w:p>
    <w:p w:rsidR="004B32B3" w:rsidRDefault="00A7326D" w:rsidP="00D06EF8">
      <w:pPr>
        <w:tabs>
          <w:tab w:val="left" w:pos="1778"/>
        </w:tabs>
        <w:spacing w:line="288" w:lineRule="auto"/>
        <w:ind w:left="142" w:right="79" w:hanging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decyzję zatwierdzającą projekt podziału nieruchomości wraz z załącznikiem graficznym</w:t>
      </w:r>
      <w:r w:rsidR="00E74BB6">
        <w:rPr>
          <w:rFonts w:ascii="Verdana" w:hAnsi="Verdana"/>
          <w:sz w:val="20"/>
          <w:szCs w:val="20"/>
        </w:rPr>
        <w:t xml:space="preserve">, </w:t>
      </w:r>
      <w:proofErr w:type="gramStart"/>
      <w:r w:rsidR="00E74BB6">
        <w:rPr>
          <w:rFonts w:ascii="Verdana" w:hAnsi="Verdana"/>
          <w:sz w:val="20"/>
          <w:szCs w:val="20"/>
        </w:rPr>
        <w:t>wykaz</w:t>
      </w:r>
      <w:r w:rsidR="00D06EF8">
        <w:rPr>
          <w:rFonts w:ascii="Verdana" w:hAnsi="Verdana"/>
          <w:sz w:val="20"/>
          <w:szCs w:val="20"/>
        </w:rPr>
        <w:t xml:space="preserve">em </w:t>
      </w:r>
      <w:r w:rsidR="00E74BB6">
        <w:rPr>
          <w:rFonts w:ascii="Verdana" w:hAnsi="Verdana"/>
          <w:sz w:val="20"/>
          <w:szCs w:val="20"/>
        </w:rPr>
        <w:t xml:space="preserve"> zmian</w:t>
      </w:r>
      <w:proofErr w:type="gramEnd"/>
      <w:r w:rsidR="00E74BB6">
        <w:rPr>
          <w:rFonts w:ascii="Verdana" w:hAnsi="Verdana"/>
          <w:sz w:val="20"/>
          <w:szCs w:val="20"/>
        </w:rPr>
        <w:t xml:space="preserve"> gruntowych, wykaz</w:t>
      </w:r>
      <w:r w:rsidR="00D06EF8">
        <w:rPr>
          <w:rFonts w:ascii="Verdana" w:hAnsi="Verdana"/>
          <w:sz w:val="20"/>
          <w:szCs w:val="20"/>
        </w:rPr>
        <w:t xml:space="preserve">em </w:t>
      </w:r>
      <w:r w:rsidR="00E74BB6">
        <w:rPr>
          <w:rFonts w:ascii="Verdana" w:hAnsi="Verdana"/>
          <w:sz w:val="20"/>
          <w:szCs w:val="20"/>
        </w:rPr>
        <w:t xml:space="preserve"> synchronizacyjny (jeżeli zajdzie potrzeba ich wykonania)</w:t>
      </w:r>
      <w:r>
        <w:rPr>
          <w:rFonts w:ascii="Verdana" w:hAnsi="Verdana"/>
          <w:sz w:val="20"/>
          <w:szCs w:val="20"/>
        </w:rPr>
        <w:t xml:space="preserve"> </w:t>
      </w:r>
      <w:r w:rsidR="00E74BB6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 xml:space="preserve"> 2 egzemplarze</w:t>
      </w:r>
    </w:p>
    <w:p w:rsidR="004B32B3" w:rsidRDefault="00A7326D">
      <w:pPr>
        <w:tabs>
          <w:tab w:val="left" w:pos="1778"/>
        </w:tabs>
        <w:spacing w:line="288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wypisy i wyrysy na w</w:t>
      </w:r>
      <w:r w:rsidR="00E74BB6">
        <w:rPr>
          <w:rFonts w:ascii="Verdana" w:hAnsi="Verdana"/>
          <w:sz w:val="20"/>
          <w:szCs w:val="20"/>
        </w:rPr>
        <w:t>szystkie działki po podziale – 1</w:t>
      </w:r>
      <w:r>
        <w:rPr>
          <w:rFonts w:ascii="Verdana" w:hAnsi="Verdana"/>
          <w:sz w:val="20"/>
          <w:szCs w:val="20"/>
        </w:rPr>
        <w:t xml:space="preserve"> egzemplarz</w:t>
      </w: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2. Wycenie nieruchomości</w:t>
      </w: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  <w:szCs w:val="20"/>
        </w:rPr>
        <w:t>Wyceny nieruchomości (gruntów) Wykonawca sporządza w formie operatu szacunkowego zgodnie z przepisami prawa ze szczególnym uwzględnieniem przepisów ustawy z dnia 21 sierpnia 1997 roku o gospodarce nieruchomościami (</w:t>
      </w:r>
      <w:r w:rsidR="00930180">
        <w:rPr>
          <w:rFonts w:ascii="Verdana" w:hAnsi="Verdana" w:cs="TimesNewRomanPS-BoldMT"/>
          <w:bCs/>
          <w:sz w:val="20"/>
          <w:szCs w:val="20"/>
        </w:rPr>
        <w:t>Dz.U. 2020.65</w:t>
      </w:r>
      <w:r>
        <w:rPr>
          <w:rFonts w:ascii="Verdana" w:hAnsi="Verdana" w:cs="TimesNewRomanPS-BoldMT"/>
          <w:bCs/>
          <w:sz w:val="20"/>
          <w:szCs w:val="20"/>
        </w:rPr>
        <w:t xml:space="preserve"> </w:t>
      </w:r>
      <w:proofErr w:type="gramStart"/>
      <w:r>
        <w:rPr>
          <w:rFonts w:ascii="Verdana" w:hAnsi="Verdana" w:cs="TimesNewRomanPS-BoldMT"/>
          <w:bCs/>
          <w:sz w:val="20"/>
          <w:szCs w:val="20"/>
        </w:rPr>
        <w:t>j</w:t>
      </w:r>
      <w:proofErr w:type="gramEnd"/>
      <w:r>
        <w:rPr>
          <w:rFonts w:ascii="Verdana" w:hAnsi="Verdana" w:cs="TimesNewRomanPS-BoldMT"/>
          <w:bCs/>
          <w:sz w:val="20"/>
          <w:szCs w:val="20"/>
        </w:rPr>
        <w:t xml:space="preserve">.t.) </w:t>
      </w:r>
      <w:r>
        <w:rPr>
          <w:rFonts w:ascii="Verdana" w:hAnsi="Verdana"/>
          <w:sz w:val="20"/>
          <w:szCs w:val="20"/>
        </w:rPr>
        <w:t>oraz rozporządzenia Rady Ministrów z dnia 21 września 2004 roku w sprawie wyceny nieruchomości i sporządzania operatu szacunkowego (</w:t>
      </w:r>
      <w:r>
        <w:rPr>
          <w:rStyle w:val="Hipercze"/>
          <w:rFonts w:ascii="Verdana" w:hAnsi="Verdana" w:cs="Arial"/>
          <w:color w:val="auto"/>
          <w:sz w:val="20"/>
          <w:szCs w:val="20"/>
          <w:u w:val="none"/>
        </w:rPr>
        <w:t xml:space="preserve">Dz.U. </w:t>
      </w:r>
      <w:r>
        <w:rPr>
          <w:rStyle w:val="Uwydatnienie"/>
          <w:rFonts w:ascii="Verdana" w:hAnsi="Verdana" w:cs="Arial"/>
          <w:b w:val="0"/>
          <w:sz w:val="20"/>
          <w:szCs w:val="20"/>
        </w:rPr>
        <w:t>2004</w:t>
      </w:r>
      <w:r>
        <w:rPr>
          <w:rStyle w:val="Hipercze"/>
          <w:rFonts w:ascii="Verdana" w:hAnsi="Verdana" w:cs="Arial"/>
          <w:b/>
          <w:color w:val="auto"/>
          <w:sz w:val="20"/>
          <w:szCs w:val="20"/>
          <w:u w:val="none"/>
        </w:rPr>
        <w:t xml:space="preserve">, </w:t>
      </w:r>
      <w:r>
        <w:rPr>
          <w:rStyle w:val="Uwydatnienie"/>
          <w:rFonts w:ascii="Verdana" w:hAnsi="Verdana" w:cs="Arial"/>
          <w:b w:val="0"/>
          <w:sz w:val="20"/>
          <w:szCs w:val="20"/>
        </w:rPr>
        <w:t>nr 207</w:t>
      </w:r>
      <w:r>
        <w:rPr>
          <w:rStyle w:val="Hipercze"/>
          <w:rFonts w:ascii="Verdana" w:hAnsi="Verdana" w:cs="Arial"/>
          <w:b/>
          <w:color w:val="auto"/>
          <w:sz w:val="20"/>
          <w:szCs w:val="20"/>
          <w:u w:val="none"/>
        </w:rPr>
        <w:t xml:space="preserve">, </w:t>
      </w:r>
      <w:r>
        <w:rPr>
          <w:rStyle w:val="Uwydatnienie"/>
          <w:rFonts w:ascii="Verdana" w:hAnsi="Verdana" w:cs="Arial"/>
          <w:b w:val="0"/>
          <w:sz w:val="20"/>
          <w:szCs w:val="20"/>
        </w:rPr>
        <w:t>poz</w:t>
      </w:r>
      <w:r>
        <w:rPr>
          <w:rStyle w:val="Hipercze"/>
          <w:rFonts w:ascii="Verdana" w:hAnsi="Verdana" w:cs="Arial"/>
          <w:b/>
          <w:color w:val="auto"/>
          <w:sz w:val="20"/>
          <w:szCs w:val="20"/>
          <w:u w:val="none"/>
        </w:rPr>
        <w:t xml:space="preserve">. </w:t>
      </w:r>
      <w:r>
        <w:rPr>
          <w:rStyle w:val="Uwydatnienie"/>
          <w:rFonts w:ascii="Verdana" w:hAnsi="Verdana" w:cs="Arial"/>
          <w:b w:val="0"/>
          <w:sz w:val="20"/>
          <w:szCs w:val="20"/>
        </w:rPr>
        <w:t xml:space="preserve">2109). </w:t>
      </w:r>
      <w:r>
        <w:rPr>
          <w:rStyle w:val="Uwydatnienie"/>
          <w:rFonts w:ascii="Verdana" w:hAnsi="Verdana" w:cs="Arial"/>
          <w:b w:val="0"/>
          <w:sz w:val="20"/>
          <w:szCs w:val="20"/>
        </w:rPr>
        <w:lastRenderedPageBreak/>
        <w:t>Wykonawca sporządzi wyciąg z operatu szacunkowego a także</w:t>
      </w:r>
      <w:r>
        <w:rPr>
          <w:rFonts w:ascii="Verdana" w:hAnsi="Verdana"/>
          <w:bCs/>
          <w:sz w:val="20"/>
        </w:rPr>
        <w:t>, w razie potrzeby, w ramach Wynagrodzenia</w:t>
      </w:r>
      <w:r>
        <w:rPr>
          <w:rFonts w:ascii="Verdana" w:hAnsi="Verdana"/>
          <w:sz w:val="20"/>
        </w:rPr>
        <w:t>, do umieszczania w operacie szacunkowym, po upływie 12 miesięcy od daty jego sporządzenia, stosownej klauzuli potwierdzającej jego aktualność. Wykonawca zobowiązany jest potwierdzić aktualność operatu szacunkowego w terminie 14 (czternastu) dni od dnia otrzymania wezwania przez Zamawiającego.</w:t>
      </w: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Wykonawca zobowiązuje się do przekazania Zamawiającemu w ilości 2 egzemplarzy operatu szacunkowego w wersji papierowej</w:t>
      </w:r>
      <w:r w:rsidR="00880AE0">
        <w:rPr>
          <w:rFonts w:ascii="Verdana" w:hAnsi="Verdana"/>
          <w:sz w:val="20"/>
        </w:rPr>
        <w:t xml:space="preserve"> i 1 egz. w wersji elektronicznej.</w:t>
      </w: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3. Wznowieniu/wyznaczeniu/ustaleniu granic</w:t>
      </w: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</w:p>
    <w:p w:rsidR="004B32B3" w:rsidRPr="00880AE0" w:rsidRDefault="00A7326D">
      <w:pPr>
        <w:tabs>
          <w:tab w:val="left" w:pos="357"/>
        </w:tabs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Należy wykonać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geodezyjne w</w:t>
      </w:r>
      <w:r>
        <w:rPr>
          <w:rFonts w:ascii="Verdana" w:hAnsi="Verdana"/>
          <w:sz w:val="20"/>
          <w:szCs w:val="20"/>
        </w:rPr>
        <w:t>znowienie znaków granicznych, wyznaczenie punktów granicznych a w szczególnych przypadkach ustalenie przebiegu granic działek ewidencyjnych, w tym położenia wyznaczających je punktów granicznych wraz z trwałą stabilizacją</w:t>
      </w:r>
      <w:r>
        <w:rPr>
          <w:rFonts w:ascii="Verdana" w:hAnsi="Verdana"/>
          <w:strike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okazać granicę pasa drogowego GDDKiA i właścicielom nieruchomości przylegających do pasa drogowego. Geodezyjne wznowienie </w:t>
      </w:r>
      <w:r w:rsidR="00E74BB6">
        <w:rPr>
          <w:rFonts w:ascii="Verdana" w:hAnsi="Verdana"/>
          <w:sz w:val="20"/>
          <w:szCs w:val="20"/>
        </w:rPr>
        <w:t xml:space="preserve">znaków </w:t>
      </w:r>
      <w:r>
        <w:rPr>
          <w:rFonts w:ascii="Verdana" w:hAnsi="Verdana"/>
          <w:sz w:val="20"/>
          <w:szCs w:val="20"/>
        </w:rPr>
        <w:t>granic, okazanie</w:t>
      </w:r>
      <w:r w:rsidR="00E74BB6">
        <w:rPr>
          <w:rFonts w:ascii="Verdana" w:hAnsi="Verdana"/>
          <w:sz w:val="20"/>
          <w:szCs w:val="20"/>
        </w:rPr>
        <w:t xml:space="preserve"> granic</w:t>
      </w:r>
      <w:r>
        <w:rPr>
          <w:rFonts w:ascii="Verdana" w:hAnsi="Verdana"/>
          <w:sz w:val="20"/>
          <w:szCs w:val="20"/>
        </w:rPr>
        <w:t xml:space="preserve"> jak i </w:t>
      </w:r>
      <w:r w:rsidR="00E74BB6">
        <w:rPr>
          <w:rFonts w:ascii="Verdana" w:hAnsi="Verdana"/>
          <w:sz w:val="20"/>
          <w:szCs w:val="20"/>
        </w:rPr>
        <w:t xml:space="preserve">ich </w:t>
      </w:r>
      <w:r>
        <w:rPr>
          <w:rFonts w:ascii="Verdana" w:hAnsi="Verdana"/>
          <w:sz w:val="20"/>
          <w:szCs w:val="20"/>
        </w:rPr>
        <w:t>stabilizacja musi by</w:t>
      </w:r>
      <w:r>
        <w:rPr>
          <w:rFonts w:ascii="Verdana" w:eastAsia="TimesNewRoman" w:hAnsi="Verdana"/>
          <w:sz w:val="20"/>
          <w:szCs w:val="20"/>
        </w:rPr>
        <w:t xml:space="preserve">ć </w:t>
      </w:r>
      <w:r>
        <w:rPr>
          <w:rFonts w:ascii="Verdana" w:hAnsi="Verdana"/>
          <w:sz w:val="20"/>
          <w:szCs w:val="20"/>
        </w:rPr>
        <w:t>wykonana przez geodet</w:t>
      </w:r>
      <w:r>
        <w:rPr>
          <w:rFonts w:ascii="Verdana" w:eastAsia="TimesNewRoman" w:hAnsi="Verdana"/>
          <w:sz w:val="20"/>
          <w:szCs w:val="20"/>
        </w:rPr>
        <w:t xml:space="preserve">ę </w:t>
      </w:r>
      <w:r>
        <w:rPr>
          <w:rFonts w:ascii="Verdana" w:hAnsi="Verdana"/>
          <w:sz w:val="20"/>
          <w:szCs w:val="20"/>
        </w:rPr>
        <w:t>uprawnionego.</w:t>
      </w:r>
    </w:p>
    <w:p w:rsidR="004B32B3" w:rsidRDefault="00A7326D">
      <w:pPr>
        <w:tabs>
          <w:tab w:val="left" w:pos="0"/>
        </w:tabs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 trwałej stabilizacji geodezyjnych punktów granicznych pasa drogowego należy użyć </w:t>
      </w:r>
    </w:p>
    <w:p w:rsidR="004B32B3" w:rsidRDefault="00A7326D">
      <w:pPr>
        <w:numPr>
          <w:ilvl w:val="1"/>
          <w:numId w:val="3"/>
        </w:numPr>
        <w:tabs>
          <w:tab w:val="clear" w:pos="1440"/>
          <w:tab w:val="left" w:pos="0"/>
          <w:tab w:val="num" w:pos="567"/>
        </w:tabs>
        <w:spacing w:line="288" w:lineRule="auto"/>
        <w:ind w:left="567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geodezyjnych </w:t>
      </w:r>
      <w:proofErr w:type="spellStart"/>
      <w:r>
        <w:rPr>
          <w:rFonts w:ascii="Verdana" w:hAnsi="Verdana"/>
          <w:sz w:val="20"/>
          <w:szCs w:val="20"/>
        </w:rPr>
        <w:t>graniczników</w:t>
      </w:r>
      <w:proofErr w:type="spellEnd"/>
      <w:r>
        <w:rPr>
          <w:rFonts w:ascii="Verdana" w:hAnsi="Verdana"/>
          <w:sz w:val="20"/>
          <w:szCs w:val="20"/>
        </w:rPr>
        <w:t xml:space="preserve"> betonowych z krzyżem na górnej poziomej ściance.</w:t>
      </w:r>
    </w:p>
    <w:p w:rsidR="004B32B3" w:rsidRDefault="00A7326D">
      <w:pPr>
        <w:numPr>
          <w:ilvl w:val="1"/>
          <w:numId w:val="3"/>
        </w:numPr>
        <w:tabs>
          <w:tab w:val="clear" w:pos="1440"/>
          <w:tab w:val="left" w:pos="0"/>
        </w:tabs>
        <w:spacing w:line="288" w:lineRule="auto"/>
        <w:ind w:left="567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żelbetowych znaków z napisem czarną farbą „pas drogowy” od strony wewnętrznej pasa </w:t>
      </w: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Stabilizacji podlegają wszystkie punkty granicy pasa drogowego. Znaki graniczne powinny być wkopane do takiej głębokości, aby wystawały do </w:t>
      </w:r>
      <w:smartTag w:uri="urn:schemas-microsoft-com:office:smarttags" w:element="metricconverter">
        <w:smartTagPr>
          <w:attr w:name="ProductID" w:val="10 cm"/>
        </w:smartTagPr>
        <w:r>
          <w:rPr>
            <w:rFonts w:ascii="Verdana" w:hAnsi="Verdana"/>
            <w:sz w:val="20"/>
            <w:szCs w:val="20"/>
          </w:rPr>
          <w:t>10 cm</w:t>
        </w:r>
      </w:smartTag>
      <w:r>
        <w:rPr>
          <w:rFonts w:ascii="Verdana" w:hAnsi="Verdana"/>
          <w:sz w:val="20"/>
          <w:szCs w:val="20"/>
        </w:rPr>
        <w:t xml:space="preserve"> ponad teren.</w:t>
      </w: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przypadku gdy niemożliwa jest trwała stabilizacja punktu, należy zastąpić go innym elementem zamontowanym w podłożu (np. prętem stalowym, rurką). Taki punkt należy opisać oraz sporządzić szkic topograficzny określający jego położenie.</w:t>
      </w: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Podczas prac Wykonawca ma zachować w stanie nienaruszonym wszystkie punkty pomiarowe.</w:t>
      </w:r>
    </w:p>
    <w:p w:rsidR="004B32B3" w:rsidRDefault="00A7326D">
      <w:pPr>
        <w:tabs>
          <w:tab w:val="left" w:pos="5954"/>
        </w:tabs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Stabilizacja znakami pas drogowy „PD” przy wszystkich istniejących geodezyjnych punktach granicznych nie rzadziej niż 100m jako tzw. świadki </w:t>
      </w:r>
      <w:r>
        <w:rPr>
          <w:rFonts w:ascii="Verdana" w:hAnsi="Verdana"/>
          <w:bCs/>
          <w:iCs/>
          <w:sz w:val="20"/>
          <w:szCs w:val="20"/>
        </w:rPr>
        <w:t xml:space="preserve">punktu granicznego </w:t>
      </w:r>
      <w:r>
        <w:rPr>
          <w:rFonts w:ascii="Verdana" w:hAnsi="Verdana"/>
          <w:sz w:val="20"/>
          <w:szCs w:val="20"/>
        </w:rPr>
        <w:t>wkopane przy „linii” granicznej- tj. na gruncie GDDKiA w pozycji pionowej,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zwrócone napisem w kierunku jezdni. Znaki PD należy wkopać w odległości maksymalnie 30 cm </w:t>
      </w:r>
      <w:r>
        <w:rPr>
          <w:rFonts w:ascii="Verdana" w:hAnsi="Verdana"/>
          <w:sz w:val="20"/>
          <w:szCs w:val="20"/>
        </w:rPr>
        <w:br/>
        <w:t xml:space="preserve">od </w:t>
      </w:r>
      <w:proofErr w:type="spellStart"/>
      <w:r>
        <w:rPr>
          <w:rFonts w:ascii="Verdana" w:hAnsi="Verdana"/>
          <w:sz w:val="20"/>
          <w:szCs w:val="20"/>
        </w:rPr>
        <w:t>granicznika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4B32B3" w:rsidRDefault="004B32B3">
      <w:pPr>
        <w:tabs>
          <w:tab w:val="left" w:pos="5954"/>
        </w:tabs>
        <w:spacing w:line="288" w:lineRule="auto"/>
        <w:jc w:val="both"/>
        <w:rPr>
          <w:rFonts w:ascii="Verdana" w:hAnsi="Verdana"/>
          <w:sz w:val="16"/>
          <w:szCs w:val="16"/>
        </w:rPr>
      </w:pPr>
    </w:p>
    <w:p w:rsidR="004B32B3" w:rsidRDefault="00A7326D">
      <w:pPr>
        <w:tabs>
          <w:tab w:val="left" w:pos="5954"/>
        </w:tabs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 dokonanej stabilizacji punktów pasa drogowego Wykonawca dostarczy Zamawiające</w:t>
      </w:r>
      <w:r w:rsidR="00E74BB6">
        <w:rPr>
          <w:rFonts w:ascii="Verdana" w:hAnsi="Verdana"/>
          <w:sz w:val="20"/>
          <w:szCs w:val="20"/>
        </w:rPr>
        <w:t>mu</w:t>
      </w:r>
      <w:r>
        <w:rPr>
          <w:rFonts w:ascii="Verdana" w:hAnsi="Verdana"/>
          <w:sz w:val="20"/>
          <w:szCs w:val="20"/>
        </w:rPr>
        <w:t xml:space="preserve"> mapę sporządzoną zgodnie z obowiązującymi przepisami prawa z naniesionymi wynikami stabilizacji, legendą oraz spisem treści w wersji papierowej w 2 egz. i w wersji elektronicznej w 2 egz. na płycie CD (plik </w:t>
      </w:r>
      <w:proofErr w:type="spellStart"/>
      <w:r>
        <w:rPr>
          <w:rFonts w:ascii="Verdana" w:hAnsi="Verdana"/>
          <w:sz w:val="20"/>
          <w:szCs w:val="20"/>
        </w:rPr>
        <w:t>shp</w:t>
      </w:r>
      <w:proofErr w:type="spellEnd"/>
      <w:r w:rsidR="00E74BB6">
        <w:rPr>
          <w:rFonts w:ascii="Verdana" w:hAnsi="Verdana"/>
          <w:sz w:val="20"/>
          <w:szCs w:val="20"/>
        </w:rPr>
        <w:t xml:space="preserve">, </w:t>
      </w:r>
      <w:proofErr w:type="spellStart"/>
      <w:r w:rsidR="00E74BB6">
        <w:rPr>
          <w:rFonts w:ascii="Verdana" w:hAnsi="Verdana"/>
          <w:sz w:val="20"/>
          <w:szCs w:val="20"/>
        </w:rPr>
        <w:t>dxf</w:t>
      </w:r>
      <w:proofErr w:type="spellEnd"/>
      <w:r>
        <w:rPr>
          <w:rFonts w:ascii="Verdana" w:hAnsi="Verdana"/>
          <w:sz w:val="20"/>
          <w:szCs w:val="20"/>
        </w:rPr>
        <w:t xml:space="preserve"> lub </w:t>
      </w:r>
      <w:proofErr w:type="spellStart"/>
      <w:r>
        <w:rPr>
          <w:rFonts w:ascii="Verdana" w:hAnsi="Verdana"/>
          <w:sz w:val="20"/>
          <w:szCs w:val="20"/>
        </w:rPr>
        <w:t>dwg</w:t>
      </w:r>
      <w:proofErr w:type="spellEnd"/>
      <w:r>
        <w:rPr>
          <w:rFonts w:ascii="Verdana" w:hAnsi="Verdana"/>
          <w:sz w:val="20"/>
          <w:szCs w:val="20"/>
        </w:rPr>
        <w:t>).</w:t>
      </w:r>
    </w:p>
    <w:p w:rsidR="004B32B3" w:rsidRDefault="00A7326D">
      <w:pPr>
        <w:tabs>
          <w:tab w:val="left" w:pos="357"/>
        </w:tabs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Mapa z przebiegiem geodezyjnych granic powinna zawierać: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nazwę województwa, gminy, obrębu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kilometraż początkowy i końcowy opracowywanego odcinka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szkic lokalizacji (spis treści arkuszy)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punkty graniczne wraz z numeracją i rodzajem stabilizacji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miary od krawędzi jezdni do punktu granicznego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opis skrzyżowań i rzek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szczegóły sytuacyjne służące do identyfikacji położenia punktów granicznych </w:t>
      </w:r>
      <w:r>
        <w:rPr>
          <w:rFonts w:ascii="Verdana" w:hAnsi="Verdana"/>
          <w:sz w:val="20"/>
          <w:szCs w:val="20"/>
        </w:rPr>
        <w:br/>
        <w:t>w terenie w zasięgu po 10 m od granic pasa drogowego: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krawędzie jezdni</w:t>
      </w:r>
    </w:p>
    <w:p w:rsidR="004B32B3" w:rsidRDefault="00E74BB6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oś</w:t>
      </w:r>
      <w:proofErr w:type="gramEnd"/>
      <w:r w:rsidR="00A7326D">
        <w:rPr>
          <w:rFonts w:ascii="Verdana" w:hAnsi="Verdana"/>
          <w:sz w:val="20"/>
          <w:szCs w:val="20"/>
        </w:rPr>
        <w:t xml:space="preserve"> drogi w przypadku niesymetrycznego przebiegu krawędzi jezdni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słupki hektometrowe z opisem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przepusty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początek i koniec mostu, wiaduktu (punkty skrajne)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ogrodzenia trwałe i chodniki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świadki punktów referencyjnych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pojedyncze drzewa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kontury leśne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słupy energetyczne lub telefoniczne z kierunkami linii znajdujące się w odległości do 10 m od granicy pasa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numery działek w pasie drogowym i przyległych oraz kierunki ich granic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użytki działek znajdujących się w pasie drogowym oraz użytki działek przyległych do pasa drogowego. 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czytelną legendę</w:t>
      </w:r>
    </w:p>
    <w:p w:rsidR="004B32B3" w:rsidRDefault="004B32B3">
      <w:pPr>
        <w:spacing w:line="288" w:lineRule="auto"/>
        <w:jc w:val="both"/>
        <w:rPr>
          <w:rFonts w:ascii="Verdana" w:hAnsi="Verdana"/>
        </w:rPr>
      </w:pPr>
    </w:p>
    <w:p w:rsidR="004B32B3" w:rsidRDefault="00A7326D" w:rsidP="00D06EF8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 czynności geodezyjnego wznowienia </w:t>
      </w:r>
      <w:r w:rsidR="00E74BB6">
        <w:rPr>
          <w:rFonts w:ascii="Verdana" w:hAnsi="Verdana"/>
          <w:sz w:val="20"/>
          <w:szCs w:val="20"/>
        </w:rPr>
        <w:t xml:space="preserve">znaków </w:t>
      </w:r>
      <w:proofErr w:type="gramStart"/>
      <w:r w:rsidR="00E74BB6">
        <w:rPr>
          <w:rFonts w:ascii="Verdana" w:hAnsi="Verdana"/>
          <w:sz w:val="20"/>
          <w:szCs w:val="20"/>
        </w:rPr>
        <w:t xml:space="preserve">granicznych </w:t>
      </w:r>
      <w:r>
        <w:rPr>
          <w:rFonts w:ascii="Verdana" w:hAnsi="Verdana"/>
          <w:sz w:val="20"/>
          <w:szCs w:val="20"/>
        </w:rPr>
        <w:t xml:space="preserve"> pasa</w:t>
      </w:r>
      <w:proofErr w:type="gramEnd"/>
      <w:r>
        <w:rPr>
          <w:rFonts w:ascii="Verdana" w:hAnsi="Verdana"/>
          <w:sz w:val="20"/>
          <w:szCs w:val="20"/>
        </w:rPr>
        <w:t xml:space="preserve"> drogowego Wykonawca sporządza protokół okazania znaków granicznych, kopie protokołu z pieczątką przekazania do </w:t>
      </w:r>
      <w:proofErr w:type="spellStart"/>
      <w:r>
        <w:rPr>
          <w:rFonts w:ascii="Verdana" w:hAnsi="Verdana"/>
          <w:sz w:val="20"/>
          <w:szCs w:val="20"/>
        </w:rPr>
        <w:t>PODGiK</w:t>
      </w:r>
      <w:proofErr w:type="spellEnd"/>
      <w:r>
        <w:rPr>
          <w:rFonts w:ascii="Verdana" w:hAnsi="Verdana"/>
          <w:sz w:val="20"/>
          <w:szCs w:val="20"/>
        </w:rPr>
        <w:t xml:space="preserve"> oraz z potwierdzeniem przyjęcia do zasobu </w:t>
      </w:r>
      <w:proofErr w:type="spellStart"/>
      <w:r>
        <w:rPr>
          <w:rFonts w:ascii="Verdana" w:hAnsi="Verdana"/>
          <w:sz w:val="20"/>
          <w:szCs w:val="20"/>
        </w:rPr>
        <w:t>ODGiK</w:t>
      </w:r>
      <w:proofErr w:type="spellEnd"/>
      <w:r>
        <w:rPr>
          <w:rFonts w:ascii="Verdana" w:hAnsi="Verdana"/>
          <w:sz w:val="20"/>
          <w:szCs w:val="20"/>
        </w:rPr>
        <w:t xml:space="preserve"> przekazuje Zamawiającemu. </w:t>
      </w:r>
    </w:p>
    <w:p w:rsidR="00D06EF8" w:rsidRDefault="00D06EF8" w:rsidP="00D06EF8">
      <w:pPr>
        <w:spacing w:line="288" w:lineRule="auto"/>
        <w:jc w:val="both"/>
        <w:rPr>
          <w:rFonts w:ascii="Verdana" w:hAnsi="Verdana"/>
          <w:sz w:val="20"/>
          <w:szCs w:val="20"/>
        </w:rPr>
      </w:pPr>
    </w:p>
    <w:p w:rsidR="00D06EF8" w:rsidRDefault="00D06EF8" w:rsidP="00D06EF8">
      <w:pPr>
        <w:spacing w:line="288" w:lineRule="auto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4. Zmianie użytków gruntowych na „dr”</w:t>
      </w: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sporządzi wykazy zmian danych ewidencyjnych dla działek będących we władaniu GDDKiA Oddział Zielona Góra, dla których konieczna będzie zmiana użytku na droga „dr”.</w:t>
      </w: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Sporządzoną dokumentację przekaże do właściwego organu prowadzącego ewidencję gruntów i budynków. </w:t>
      </w:r>
    </w:p>
    <w:p w:rsidR="004B32B3" w:rsidRDefault="00A7326D">
      <w:pPr>
        <w:tabs>
          <w:tab w:val="left" w:pos="1778"/>
        </w:tabs>
        <w:spacing w:line="288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 zakończonym postępowaniu polegającemu na zmianie użytków na „dr” Wykonawca przekaże Zamawiającemu następujące dokumenty:</w:t>
      </w:r>
    </w:p>
    <w:p w:rsidR="004B32B3" w:rsidRDefault="00A7326D">
      <w:pPr>
        <w:tabs>
          <w:tab w:val="left" w:pos="1778"/>
        </w:tabs>
        <w:spacing w:line="288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wypis i </w:t>
      </w:r>
      <w:proofErr w:type="spellStart"/>
      <w:r>
        <w:rPr>
          <w:rFonts w:ascii="Verdana" w:hAnsi="Verdana"/>
          <w:sz w:val="20"/>
          <w:szCs w:val="20"/>
        </w:rPr>
        <w:t>wyrs</w:t>
      </w:r>
      <w:proofErr w:type="spellEnd"/>
      <w:r>
        <w:rPr>
          <w:rFonts w:ascii="Verdana" w:hAnsi="Verdana"/>
          <w:sz w:val="20"/>
          <w:szCs w:val="20"/>
        </w:rPr>
        <w:t xml:space="preserve"> dla działki, której zmieniono użytek – 1 egzemplarz</w:t>
      </w:r>
    </w:p>
    <w:p w:rsidR="004B32B3" w:rsidRDefault="00A7326D">
      <w:pPr>
        <w:tabs>
          <w:tab w:val="left" w:pos="1778"/>
        </w:tabs>
        <w:spacing w:line="288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wykazy zmian danych ewidencyjnych, - 1 egzemplarz</w:t>
      </w: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Dokumentacja geodezyjna musi być wykonana zgodnie z przepisami prawa geodezyjnego. Dokumenty powinny spełniać wymagania do wpisów w księgach wieczystych. </w:t>
      </w: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Zamówienie będzie realizowane sukcesywnie w kolejności wskazanej przez Zamawiającego do czasu upływu umowy lub wykorzystania środków.</w:t>
      </w:r>
    </w:p>
    <w:p w:rsidR="004B32B3" w:rsidRDefault="00A7326D">
      <w:pPr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Ostateczny termin wykonania zamówienia: 0</w:t>
      </w:r>
      <w:r w:rsidR="0089034C">
        <w:rPr>
          <w:rFonts w:ascii="Verdana" w:hAnsi="Verdana"/>
          <w:sz w:val="20"/>
          <w:szCs w:val="20"/>
        </w:rPr>
        <w:t>8</w:t>
      </w:r>
      <w:r>
        <w:rPr>
          <w:rFonts w:ascii="Verdana" w:hAnsi="Verdana"/>
          <w:sz w:val="20"/>
          <w:szCs w:val="20"/>
        </w:rPr>
        <w:t>.12.2021</w:t>
      </w:r>
      <w:proofErr w:type="gramStart"/>
      <w:r>
        <w:rPr>
          <w:rFonts w:ascii="Verdana" w:hAnsi="Verdana"/>
          <w:sz w:val="20"/>
          <w:szCs w:val="20"/>
        </w:rPr>
        <w:t>r</w:t>
      </w:r>
      <w:proofErr w:type="gramEnd"/>
      <w:r>
        <w:rPr>
          <w:rFonts w:ascii="Verdana" w:hAnsi="Verdana"/>
          <w:sz w:val="20"/>
          <w:szCs w:val="20"/>
        </w:rPr>
        <w:t>.</w:t>
      </w:r>
    </w:p>
    <w:p w:rsidR="0089034C" w:rsidRDefault="0089034C">
      <w:pPr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89034C" w:rsidRPr="0089034C" w:rsidRDefault="0089034C">
      <w:pPr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  <w:r w:rsidRPr="0089034C">
        <w:rPr>
          <w:rFonts w:ascii="Verdana" w:hAnsi="Verdana"/>
          <w:b/>
          <w:sz w:val="20"/>
          <w:szCs w:val="20"/>
        </w:rPr>
        <w:t xml:space="preserve">5. </w:t>
      </w:r>
      <w:r>
        <w:rPr>
          <w:rFonts w:ascii="Verdana" w:hAnsi="Verdana"/>
          <w:b/>
          <w:sz w:val="20"/>
          <w:szCs w:val="20"/>
        </w:rPr>
        <w:t xml:space="preserve">Pracownicy zatrudnieni na podstawie umowy o pracę </w:t>
      </w:r>
    </w:p>
    <w:p w:rsidR="0089034C" w:rsidRDefault="0089034C">
      <w:pPr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89034C" w:rsidRDefault="0089034C">
      <w:pPr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wymaga, żeby niżej wymienione czynności były wykonywane przez osoby zatrudnione na umowę o pracę:</w:t>
      </w:r>
    </w:p>
    <w:p w:rsidR="0089034C" w:rsidRDefault="0089034C">
      <w:pPr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FF6BD7">
        <w:rPr>
          <w:rFonts w:ascii="Verdana" w:hAnsi="Verdana"/>
          <w:sz w:val="20"/>
          <w:szCs w:val="20"/>
        </w:rPr>
        <w:t xml:space="preserve">sporządzenie projektu </w:t>
      </w:r>
      <w:r>
        <w:rPr>
          <w:rFonts w:ascii="Verdana" w:hAnsi="Verdana"/>
          <w:sz w:val="20"/>
          <w:szCs w:val="20"/>
        </w:rPr>
        <w:t>podział</w:t>
      </w:r>
      <w:r w:rsidR="00FF6BD7">
        <w:rPr>
          <w:rFonts w:ascii="Verdana" w:hAnsi="Verdana"/>
          <w:sz w:val="20"/>
          <w:szCs w:val="20"/>
        </w:rPr>
        <w:t>u</w:t>
      </w:r>
      <w:r>
        <w:rPr>
          <w:rFonts w:ascii="Verdana" w:hAnsi="Verdana"/>
          <w:sz w:val="20"/>
          <w:szCs w:val="20"/>
        </w:rPr>
        <w:t xml:space="preserve"> nieruchomości </w:t>
      </w:r>
    </w:p>
    <w:p w:rsidR="0089034C" w:rsidRDefault="0089034C">
      <w:pPr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wznowienia/ wyznaczenie /ustalenie granic</w:t>
      </w:r>
      <w:r w:rsidR="00FF6BD7">
        <w:rPr>
          <w:rFonts w:ascii="Verdana" w:hAnsi="Verdana"/>
          <w:sz w:val="20"/>
          <w:szCs w:val="20"/>
        </w:rPr>
        <w:t xml:space="preserve"> nieruchomości </w:t>
      </w:r>
    </w:p>
    <w:p w:rsidR="0089034C" w:rsidRDefault="0089034C">
      <w:pPr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- okazanie granic </w:t>
      </w:r>
    </w:p>
    <w:p w:rsidR="0089034C" w:rsidRDefault="0089034C" w:rsidP="0089034C">
      <w:pPr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sporządz</w:t>
      </w:r>
      <w:r w:rsidR="00FF6BD7">
        <w:rPr>
          <w:rFonts w:ascii="Verdana" w:hAnsi="Verdana"/>
          <w:sz w:val="20"/>
          <w:szCs w:val="20"/>
        </w:rPr>
        <w:t xml:space="preserve">enie </w:t>
      </w:r>
      <w:r>
        <w:rPr>
          <w:rFonts w:ascii="Verdana" w:hAnsi="Verdana"/>
          <w:sz w:val="20"/>
          <w:szCs w:val="20"/>
        </w:rPr>
        <w:t>protokołów z wznowienia/ wyznaczenie /ustalenie granic</w:t>
      </w:r>
    </w:p>
    <w:p w:rsidR="004B32B3" w:rsidRDefault="0089034C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FF6BD7">
        <w:rPr>
          <w:rFonts w:ascii="Verdana" w:hAnsi="Verdana"/>
          <w:sz w:val="20"/>
          <w:szCs w:val="20"/>
        </w:rPr>
        <w:t>trwała stabilizacja granic nieruchomości</w:t>
      </w:r>
    </w:p>
    <w:p w:rsidR="00FF6BD7" w:rsidRDefault="00FF6BD7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sporządzenie mapy ze stabilizacji </w:t>
      </w:r>
    </w:p>
    <w:p w:rsidR="00FF6BD7" w:rsidRDefault="00FF6BD7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sporządzenie wykazów zmian danych ewidencyjnych ze zmiany użytków gruntowych.</w:t>
      </w:r>
    </w:p>
    <w:p w:rsidR="00930180" w:rsidRDefault="00930180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930180" w:rsidRPr="0089034C" w:rsidRDefault="00930180" w:rsidP="00930180">
      <w:pPr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Pr="0089034C">
        <w:rPr>
          <w:rFonts w:ascii="Verdana" w:hAnsi="Verdana"/>
          <w:b/>
          <w:sz w:val="20"/>
          <w:szCs w:val="20"/>
        </w:rPr>
        <w:t xml:space="preserve">. </w:t>
      </w:r>
      <w:r>
        <w:rPr>
          <w:rFonts w:ascii="Verdana" w:hAnsi="Verdana"/>
          <w:b/>
          <w:sz w:val="20"/>
          <w:szCs w:val="20"/>
        </w:rPr>
        <w:t xml:space="preserve"> Gwarancja i rękojmia </w:t>
      </w:r>
    </w:p>
    <w:p w:rsidR="00930180" w:rsidRDefault="00930180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930180" w:rsidRDefault="00930180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</w:t>
      </w:r>
      <w:bookmarkStart w:id="0" w:name="_GoBack"/>
      <w:bookmarkEnd w:id="0"/>
      <w:r>
        <w:rPr>
          <w:rFonts w:ascii="Verdana" w:hAnsi="Verdana"/>
          <w:sz w:val="20"/>
          <w:szCs w:val="20"/>
        </w:rPr>
        <w:t xml:space="preserve">awiający ustala najkrótszy akceptowalny termin gwarancji i rękojmi wykonania zadania na okres 12 miesięcy. </w:t>
      </w:r>
    </w:p>
    <w:sectPr w:rsidR="00930180">
      <w:headerReference w:type="default" r:id="rId8"/>
      <w:footerReference w:type="even" r:id="rId9"/>
      <w:footerReference w:type="default" r:id="rId10"/>
      <w:pgSz w:w="11906" w:h="16838" w:code="9"/>
      <w:pgMar w:top="1361" w:right="1361" w:bottom="1361" w:left="1361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26D" w:rsidRDefault="00A7326D">
      <w:r>
        <w:separator/>
      </w:r>
    </w:p>
  </w:endnote>
  <w:endnote w:type="continuationSeparator" w:id="0">
    <w:p w:rsidR="00A7326D" w:rsidRDefault="00A73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2B3" w:rsidRDefault="00A732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32B3" w:rsidRDefault="004B32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2B3" w:rsidRDefault="00A732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7EF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4B32B3" w:rsidRDefault="004B32B3">
    <w:pPr>
      <w:pStyle w:val="Stopka"/>
      <w:tabs>
        <w:tab w:val="clear" w:pos="4536"/>
        <w:tab w:val="clear" w:pos="9072"/>
        <w:tab w:val="left" w:pos="2835"/>
        <w:tab w:val="left" w:pos="5670"/>
      </w:tabs>
      <w:ind w:right="360"/>
      <w:rPr>
        <w:color w:val="FFFFF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26D" w:rsidRDefault="00A7326D">
      <w:r>
        <w:separator/>
      </w:r>
    </w:p>
  </w:footnote>
  <w:footnote w:type="continuationSeparator" w:id="0">
    <w:p w:rsidR="00A7326D" w:rsidRDefault="00A732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Verdana" w:eastAsiaTheme="majorEastAsia" w:hAnsi="Verdana" w:cstheme="majorBidi"/>
        <w:b/>
      </w:rPr>
      <w:alias w:val="Tytuł"/>
      <w:id w:val="77738743"/>
      <w:placeholder>
        <w:docPart w:val="2A2574DEA65E41A0A42FE86DEA9F5D9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4B32B3" w:rsidRDefault="00A7326D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b/>
            <w:sz w:val="32"/>
            <w:szCs w:val="32"/>
          </w:rPr>
        </w:pPr>
        <w:r>
          <w:rPr>
            <w:rFonts w:ascii="Verdana" w:eastAsiaTheme="majorEastAsia" w:hAnsi="Verdana" w:cstheme="majorBidi"/>
            <w:b/>
          </w:rPr>
          <w:t>OPIS PRZEDMIOTU ZAMÓWIENIA – Regulacja Stanów Prawnych</w:t>
        </w:r>
      </w:p>
    </w:sdtContent>
  </w:sdt>
  <w:p w:rsidR="004B32B3" w:rsidRDefault="004B32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A6AB8"/>
    <w:multiLevelType w:val="hybridMultilevel"/>
    <w:tmpl w:val="CF348F8C"/>
    <w:lvl w:ilvl="0" w:tplc="6FCE8FE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"/>
        </w:tabs>
        <w:ind w:left="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744"/>
        </w:tabs>
        <w:ind w:left="7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464"/>
        </w:tabs>
        <w:ind w:left="14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184"/>
        </w:tabs>
        <w:ind w:left="21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904"/>
        </w:tabs>
        <w:ind w:left="29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624"/>
        </w:tabs>
        <w:ind w:left="36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344"/>
        </w:tabs>
        <w:ind w:left="43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064"/>
        </w:tabs>
        <w:ind w:left="5064" w:hanging="360"/>
      </w:pPr>
      <w:rPr>
        <w:rFonts w:ascii="Wingdings" w:hAnsi="Wingdings" w:hint="default"/>
      </w:rPr>
    </w:lvl>
  </w:abstractNum>
  <w:abstractNum w:abstractNumId="1" w15:restartNumberingAfterBreak="0">
    <w:nsid w:val="18E24E8D"/>
    <w:multiLevelType w:val="hybridMultilevel"/>
    <w:tmpl w:val="96E0AB2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19347C9"/>
    <w:multiLevelType w:val="hybridMultilevel"/>
    <w:tmpl w:val="57024FD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9B01A5F"/>
    <w:multiLevelType w:val="hybridMultilevel"/>
    <w:tmpl w:val="EB08327C"/>
    <w:lvl w:ilvl="0" w:tplc="20BE9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9D9CD4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C77458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AF409D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25C204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5D74B7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1D4E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D22213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19623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4" w15:restartNumberingAfterBreak="0">
    <w:nsid w:val="4E445CC6"/>
    <w:multiLevelType w:val="singleLevel"/>
    <w:tmpl w:val="CA00DEFE"/>
    <w:lvl w:ilvl="0">
      <w:start w:val="2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67B566C9"/>
    <w:multiLevelType w:val="hybridMultilevel"/>
    <w:tmpl w:val="E7F42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594A50"/>
    <w:multiLevelType w:val="singleLevel"/>
    <w:tmpl w:val="0C80D9D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</w:abstractNum>
  <w:abstractNum w:abstractNumId="7" w15:restartNumberingAfterBreak="0">
    <w:nsid w:val="7C6F1396"/>
    <w:multiLevelType w:val="hybridMultilevel"/>
    <w:tmpl w:val="F15E474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44B4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FD3C48"/>
    <w:multiLevelType w:val="hybridMultilevel"/>
    <w:tmpl w:val="C41C05F0"/>
    <w:lvl w:ilvl="0" w:tplc="5E44B42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4"/>
  </w:num>
  <w:num w:numId="7">
    <w:abstractNumId w:val="8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2B3"/>
    <w:rsid w:val="004B32B3"/>
    <w:rsid w:val="007B7EF5"/>
    <w:rsid w:val="00880AE0"/>
    <w:rsid w:val="0089034C"/>
    <w:rsid w:val="00930180"/>
    <w:rsid w:val="00A7326D"/>
    <w:rsid w:val="00D06EF8"/>
    <w:rsid w:val="00E74BB6"/>
    <w:rsid w:val="00FF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5:docId w15:val="{67DE6C01-1B3F-4615-A57B-2AB13800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GDAKA">
    <w:name w:val="STYL GDAKA"/>
    <w:basedOn w:val="Tabela-Lista6"/>
    <w:uiPriority w:val="99"/>
    <w:rPr>
      <w:rFonts w:ascii="Garamond" w:hAnsi="Garamond"/>
    </w:rPr>
    <w:tblPr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single" w:sz="6" w:space="0" w:color="000000"/>
      </w:tblBorders>
    </w:tblPr>
    <w:tcPr>
      <w:shd w:val="clear" w:color="auto" w:fill="FF9900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FFCC99"/>
      </w:tcPr>
    </w:tblStylePr>
  </w:style>
  <w:style w:type="table" w:styleId="Tabela-Lista6">
    <w:name w:val="Table List 6"/>
    <w:basedOn w:val="Standardowy"/>
    <w:uiPriority w:val="99"/>
    <w:rPr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4"/>
      <w:szCs w:val="24"/>
    </w:rPr>
  </w:style>
  <w:style w:type="paragraph" w:styleId="Mapadokumentu">
    <w:name w:val="Document Map"/>
    <w:basedOn w:val="Normalny"/>
    <w:link w:val="MapadokumentuZnak"/>
    <w:uiPriority w:val="99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Pr>
      <w:rFonts w:cs="Times New Roman"/>
      <w:sz w:val="2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styleId="Uwydatnienie">
    <w:name w:val="Emphasis"/>
    <w:basedOn w:val="Domylnaczcionkaakapitu"/>
    <w:qFormat/>
    <w:rPr>
      <w:rFonts w:cs="Times New Roman"/>
      <w:b/>
    </w:rPr>
  </w:style>
  <w:style w:type="character" w:styleId="Numerstrony">
    <w:name w:val="page number"/>
    <w:basedOn w:val="Domylnaczcionkaakapitu"/>
    <w:uiPriority w:val="99"/>
    <w:rPr>
      <w:rFonts w:cs="Times New Roman"/>
    </w:rPr>
  </w:style>
  <w:style w:type="character" w:customStyle="1" w:styleId="Nagwek1Znak">
    <w:name w:val="Nagłówek 1 Znak"/>
    <w:basedOn w:val="Domylnaczcionkaakapitu"/>
    <w:link w:val="Nagwek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Tekstpodstawowy21">
    <w:name w:val="Tekst podstawowy 21"/>
    <w:basedOn w:val="Normalny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A2574DEA65E41A0A42FE86DEA9F5D9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5616E4-28C2-4AD8-8BD1-0A350FBE01FC}"/>
      </w:docPartPr>
      <w:docPartBody>
        <w:p w:rsidR="002C6831" w:rsidRDefault="00087954">
          <w:pPr>
            <w:pStyle w:val="2A2574DEA65E41A0A42FE86DEA9F5D92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831"/>
    <w:rsid w:val="00087954"/>
    <w:rsid w:val="002C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2A2574DEA65E41A0A42FE86DEA9F5D92">
    <w:name w:val="2A2574DEA65E41A0A42FE86DEA9F5D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95082-88E8-46C3-80E1-D421273D9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5</Pages>
  <Words>1411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 – Regulacja Stanów Prawnych</vt:lpstr>
    </vt:vector>
  </TitlesOfParts>
  <Company>Microsoft</Company>
  <LinksUpToDate>false</LinksUpToDate>
  <CharactersWithSpaces>9858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 – Regulacja Stanów Prawnych</dc:title>
  <dc:creator>aniao</dc:creator>
  <cp:lastModifiedBy>Olejnik Monika</cp:lastModifiedBy>
  <cp:revision>25</cp:revision>
  <cp:lastPrinted>2020-02-11T11:45:00Z</cp:lastPrinted>
  <dcterms:created xsi:type="dcterms:W3CDTF">2014-04-08T07:21:00Z</dcterms:created>
  <dcterms:modified xsi:type="dcterms:W3CDTF">2020-02-11T11:56:00Z</dcterms:modified>
</cp:coreProperties>
</file>