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A30DD9" w14:textId="55D04BA0" w:rsidR="00296EAD" w:rsidRPr="0060396B" w:rsidRDefault="00296EAD" w:rsidP="00296EAD">
      <w:pPr>
        <w:jc w:val="right"/>
        <w:rPr>
          <w:i/>
        </w:rPr>
      </w:pPr>
      <w:r w:rsidRPr="0060396B">
        <w:rPr>
          <w:i/>
        </w:rPr>
        <w:t xml:space="preserve">Załącznik nr </w:t>
      </w:r>
      <w:r w:rsidR="00FC28D6">
        <w:rPr>
          <w:i/>
        </w:rPr>
        <w:t>4</w:t>
      </w:r>
      <w:r w:rsidRPr="0060396B">
        <w:rPr>
          <w:i/>
        </w:rPr>
        <w:t xml:space="preserve"> do umowy z dnia …………………………. </w:t>
      </w:r>
      <w:r w:rsidR="00FC28D6">
        <w:rPr>
          <w:i/>
        </w:rPr>
        <w:t>n</w:t>
      </w:r>
      <w:bookmarkStart w:id="0" w:name="_GoBack"/>
      <w:bookmarkEnd w:id="0"/>
      <w:r w:rsidRPr="0060396B">
        <w:rPr>
          <w:i/>
        </w:rPr>
        <w:t>r ………………………</w:t>
      </w:r>
      <w:proofErr w:type="gramStart"/>
      <w:r w:rsidRPr="0060396B">
        <w:rPr>
          <w:i/>
        </w:rPr>
        <w:t>…….</w:t>
      </w:r>
      <w:proofErr w:type="gramEnd"/>
      <w:r w:rsidRPr="0060396B">
        <w:rPr>
          <w:i/>
        </w:rPr>
        <w:t xml:space="preserve">,  </w:t>
      </w:r>
    </w:p>
    <w:p w14:paraId="10F9F9E3" w14:textId="77777777" w:rsidR="00363999" w:rsidRPr="00B13ACF" w:rsidRDefault="00363999" w:rsidP="00363999">
      <w:pPr>
        <w:spacing w:before="80" w:after="0"/>
        <w:jc w:val="right"/>
        <w:rPr>
          <w:b/>
        </w:rPr>
      </w:pPr>
    </w:p>
    <w:p w14:paraId="60F43EFF" w14:textId="77777777" w:rsidR="00363999" w:rsidRPr="00B13ACF" w:rsidRDefault="00363999" w:rsidP="00363999">
      <w:pPr>
        <w:spacing w:before="80" w:after="0"/>
        <w:jc w:val="right"/>
        <w:rPr>
          <w:b/>
        </w:rPr>
      </w:pPr>
      <w:bookmarkStart w:id="1" w:name="_Toc383694776"/>
    </w:p>
    <w:bookmarkEnd w:id="1"/>
    <w:p w14:paraId="1521AC0F" w14:textId="77777777" w:rsidR="00363999" w:rsidRPr="00B13ACF" w:rsidRDefault="00363999" w:rsidP="00363999">
      <w:pPr>
        <w:spacing w:before="80" w:after="0"/>
        <w:jc w:val="right"/>
        <w:rPr>
          <w:b/>
        </w:rPr>
      </w:pPr>
    </w:p>
    <w:p w14:paraId="47D272BF" w14:textId="77777777" w:rsidR="00363999" w:rsidRPr="00B13ACF" w:rsidRDefault="00363999" w:rsidP="00363999">
      <w:pPr>
        <w:spacing w:before="80" w:after="0"/>
        <w:jc w:val="right"/>
        <w:rPr>
          <w:b/>
        </w:rPr>
      </w:pPr>
    </w:p>
    <w:p w14:paraId="6F88E52C" w14:textId="77777777" w:rsidR="00363999" w:rsidRPr="00B13ACF" w:rsidRDefault="00363999" w:rsidP="00363999">
      <w:pPr>
        <w:spacing w:before="80" w:after="0"/>
        <w:jc w:val="right"/>
        <w:rPr>
          <w:b/>
        </w:rPr>
      </w:pPr>
    </w:p>
    <w:p w14:paraId="71CCB661" w14:textId="77777777" w:rsidR="00363999" w:rsidRPr="00B13ACF" w:rsidRDefault="00363999" w:rsidP="00363999">
      <w:pPr>
        <w:spacing w:before="80" w:after="0"/>
        <w:jc w:val="right"/>
        <w:rPr>
          <w:b/>
        </w:rPr>
      </w:pPr>
    </w:p>
    <w:p w14:paraId="557D8892" w14:textId="77777777" w:rsidR="00363999" w:rsidRPr="00B13ACF" w:rsidRDefault="00363999" w:rsidP="00363999">
      <w:pPr>
        <w:spacing w:before="80" w:after="0"/>
        <w:jc w:val="right"/>
        <w:rPr>
          <w:b/>
        </w:rPr>
      </w:pPr>
    </w:p>
    <w:p w14:paraId="4BED2114" w14:textId="77777777" w:rsidR="00363999" w:rsidRPr="00B13ACF" w:rsidRDefault="00363999" w:rsidP="00363999">
      <w:pPr>
        <w:spacing w:before="80" w:after="0"/>
        <w:jc w:val="right"/>
        <w:rPr>
          <w:b/>
        </w:rPr>
      </w:pPr>
    </w:p>
    <w:p w14:paraId="631AE683" w14:textId="77777777" w:rsidR="00363999" w:rsidRPr="00B13ACF" w:rsidRDefault="00363999" w:rsidP="00363999">
      <w:pPr>
        <w:spacing w:before="80" w:after="0"/>
        <w:rPr>
          <w:b/>
        </w:rPr>
      </w:pPr>
    </w:p>
    <w:p w14:paraId="1A0A1F29" w14:textId="77777777" w:rsidR="00363999" w:rsidRPr="00B13ACF" w:rsidRDefault="00363999" w:rsidP="00363999">
      <w:pPr>
        <w:spacing w:before="80" w:after="0"/>
        <w:rPr>
          <w:b/>
        </w:rPr>
      </w:pPr>
    </w:p>
    <w:p w14:paraId="115A2D22" w14:textId="77777777" w:rsidR="00363999" w:rsidRPr="00B13ACF" w:rsidRDefault="00363999" w:rsidP="00363999">
      <w:pPr>
        <w:spacing w:before="80" w:after="0"/>
        <w:rPr>
          <w:b/>
        </w:rPr>
      </w:pPr>
    </w:p>
    <w:p w14:paraId="4B821E88" w14:textId="77777777" w:rsidR="00363999" w:rsidRPr="00B13ACF" w:rsidRDefault="00363999" w:rsidP="00363999">
      <w:pPr>
        <w:spacing w:before="80" w:after="0"/>
        <w:rPr>
          <w:b/>
        </w:rPr>
      </w:pPr>
    </w:p>
    <w:p w14:paraId="59DA358D" w14:textId="77777777" w:rsidR="00363999" w:rsidRPr="00B13ACF" w:rsidRDefault="00363999" w:rsidP="00363999">
      <w:pPr>
        <w:spacing w:before="80" w:after="0"/>
        <w:rPr>
          <w:b/>
        </w:rPr>
      </w:pPr>
    </w:p>
    <w:p w14:paraId="23453C83" w14:textId="77777777" w:rsidR="00363999" w:rsidRPr="00B13ACF" w:rsidRDefault="00363999" w:rsidP="00363999">
      <w:pPr>
        <w:spacing w:before="80" w:after="0"/>
        <w:rPr>
          <w:b/>
        </w:rPr>
      </w:pPr>
    </w:p>
    <w:p w14:paraId="322F42B6" w14:textId="77777777" w:rsidR="00363999" w:rsidRPr="00B13ACF" w:rsidRDefault="00363999" w:rsidP="00363999">
      <w:pPr>
        <w:spacing w:before="80" w:after="0"/>
        <w:ind w:right="71"/>
        <w:jc w:val="center"/>
        <w:rPr>
          <w:rFonts w:eastAsia="Verdana" w:cs="Verdana"/>
        </w:rPr>
      </w:pPr>
      <w:bookmarkStart w:id="2" w:name="_Toc408390906"/>
      <w:r w:rsidRPr="00B13ACF">
        <w:rPr>
          <w:rFonts w:eastAsia="Verdana" w:cs="Verdana"/>
          <w:b/>
        </w:rPr>
        <w:t>GWARANCJA JAKOŚCI</w:t>
      </w:r>
    </w:p>
    <w:p w14:paraId="59C3DA4B" w14:textId="41A60F1A" w:rsidR="00B91936" w:rsidRPr="00B13ACF" w:rsidRDefault="00B91936" w:rsidP="00363999">
      <w:pPr>
        <w:spacing w:before="80" w:after="0"/>
        <w:ind w:left="222" w:right="282" w:hanging="10"/>
        <w:jc w:val="center"/>
        <w:rPr>
          <w:rFonts w:eastAsia="Verdana" w:cs="Verdana"/>
          <w:i/>
        </w:rPr>
      </w:pPr>
      <w:r w:rsidRPr="00B13ACF">
        <w:rPr>
          <w:rFonts w:eastAsia="Verdana" w:cs="Verdana"/>
          <w:i/>
        </w:rPr>
        <w:t>(nazwa zadania)</w:t>
      </w:r>
    </w:p>
    <w:p w14:paraId="5A1F00C7" w14:textId="63DDF8FE" w:rsidR="00363999" w:rsidRPr="00B13ACF" w:rsidRDefault="00363999" w:rsidP="00855083">
      <w:pPr>
        <w:spacing w:before="80" w:after="0"/>
        <w:ind w:right="282"/>
        <w:rPr>
          <w:rFonts w:eastAsia="Verdana" w:cs="Verdana"/>
        </w:rPr>
      </w:pPr>
      <w:r w:rsidRPr="00B13ACF">
        <w:rPr>
          <w:rFonts w:eastAsia="Verdana" w:cs="Verdana"/>
        </w:rPr>
        <w:br w:type="page"/>
      </w:r>
    </w:p>
    <w:p w14:paraId="726DC920" w14:textId="77777777" w:rsidR="00363999" w:rsidRPr="00B13ACF" w:rsidRDefault="00363999" w:rsidP="00363999">
      <w:pPr>
        <w:keepNext/>
        <w:keepLines/>
        <w:spacing w:before="80" w:after="0"/>
        <w:ind w:left="-5" w:hanging="10"/>
        <w:outlineLvl w:val="2"/>
        <w:rPr>
          <w:rFonts w:eastAsia="Verdana" w:cs="Verdana"/>
          <w:b/>
        </w:rPr>
      </w:pPr>
      <w:r w:rsidRPr="00B13ACF">
        <w:rPr>
          <w:rFonts w:eastAsia="Verdana" w:cs="Verdana"/>
          <w:b/>
        </w:rPr>
        <w:lastRenderedPageBreak/>
        <w:t xml:space="preserve">Spis treści </w:t>
      </w:r>
    </w:p>
    <w:sdt>
      <w:sdtPr>
        <w:rPr>
          <w:rFonts w:eastAsia="Verdana" w:cs="Verdana"/>
        </w:rPr>
        <w:id w:val="1485819311"/>
        <w:docPartObj>
          <w:docPartGallery w:val="Table of Contents"/>
        </w:docPartObj>
      </w:sdtPr>
      <w:sdtEndPr/>
      <w:sdtContent>
        <w:p w14:paraId="53160CEB" w14:textId="066967B1" w:rsidR="000426DC" w:rsidRPr="00B13ACF" w:rsidRDefault="00363999">
          <w:pPr>
            <w:pStyle w:val="Spistreci1"/>
            <w:rPr>
              <w:rFonts w:asciiTheme="minorHAnsi" w:eastAsiaTheme="minorEastAsia" w:hAnsiTheme="minorHAnsi" w:cstheme="minorBidi"/>
              <w:noProof/>
              <w:sz w:val="22"/>
              <w:szCs w:val="22"/>
            </w:rPr>
          </w:pPr>
          <w:r w:rsidRPr="00B13ACF">
            <w:rPr>
              <w:rFonts w:eastAsia="Verdana" w:cs="Verdana"/>
            </w:rPr>
            <w:fldChar w:fldCharType="begin"/>
          </w:r>
          <w:r w:rsidRPr="00B13ACF">
            <w:rPr>
              <w:rFonts w:eastAsia="Verdana" w:cs="Verdana"/>
            </w:rPr>
            <w:instrText xml:space="preserve"> TOC \o "1-2" \h \z \u </w:instrText>
          </w:r>
          <w:r w:rsidRPr="00B13ACF">
            <w:rPr>
              <w:rFonts w:eastAsia="Verdana" w:cs="Verdana"/>
            </w:rPr>
            <w:fldChar w:fldCharType="separate"/>
          </w:r>
          <w:hyperlink w:anchor="_Toc533170532" w:history="1">
            <w:r w:rsidR="000426DC" w:rsidRPr="00B13ACF">
              <w:rPr>
                <w:rStyle w:val="Hipercze"/>
                <w:rFonts w:eastAsia="Verdana"/>
                <w:noProof/>
                <w:color w:val="auto"/>
              </w:rPr>
              <w:t>I.</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INFORMACJE WSTĘPNE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_Toc533170532 \h </w:instrText>
            </w:r>
            <w:r w:rsidR="000426DC" w:rsidRPr="00B13ACF">
              <w:rPr>
                <w:noProof/>
                <w:webHidden/>
              </w:rPr>
            </w:r>
            <w:r w:rsidR="000426DC" w:rsidRPr="00B13ACF">
              <w:rPr>
                <w:noProof/>
                <w:webHidden/>
              </w:rPr>
              <w:fldChar w:fldCharType="separate"/>
            </w:r>
            <w:r w:rsidR="00437E0C">
              <w:rPr>
                <w:noProof/>
                <w:webHidden/>
              </w:rPr>
              <w:t>3</w:t>
            </w:r>
            <w:r w:rsidR="000426DC" w:rsidRPr="00B13ACF">
              <w:rPr>
                <w:noProof/>
                <w:webHidden/>
              </w:rPr>
              <w:fldChar w:fldCharType="end"/>
            </w:r>
          </w:hyperlink>
        </w:p>
        <w:p w14:paraId="0FFA6A4B" w14:textId="6439EB20" w:rsidR="000426DC" w:rsidRPr="00B13ACF" w:rsidRDefault="00BA04F3">
          <w:pPr>
            <w:pStyle w:val="Spistreci1"/>
            <w:rPr>
              <w:rFonts w:asciiTheme="minorHAnsi" w:eastAsiaTheme="minorEastAsia" w:hAnsiTheme="minorHAnsi" w:cstheme="minorBidi"/>
              <w:noProof/>
              <w:sz w:val="22"/>
              <w:szCs w:val="22"/>
            </w:rPr>
          </w:pPr>
          <w:hyperlink w:anchor="_Toc533170533" w:history="1">
            <w:r w:rsidR="000426DC" w:rsidRPr="00B13ACF">
              <w:rPr>
                <w:rStyle w:val="Hipercze"/>
                <w:rFonts w:eastAsia="Verdana"/>
                <w:noProof/>
                <w:color w:val="auto"/>
              </w:rPr>
              <w:t>II.</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CZĘŚĆ OGÓLNA</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_Toc533170533 \h </w:instrText>
            </w:r>
            <w:r w:rsidR="000426DC" w:rsidRPr="00B13ACF">
              <w:rPr>
                <w:noProof/>
                <w:webHidden/>
              </w:rPr>
            </w:r>
            <w:r w:rsidR="000426DC" w:rsidRPr="00B13ACF">
              <w:rPr>
                <w:noProof/>
                <w:webHidden/>
              </w:rPr>
              <w:fldChar w:fldCharType="separate"/>
            </w:r>
            <w:r w:rsidR="00437E0C">
              <w:rPr>
                <w:noProof/>
                <w:webHidden/>
              </w:rPr>
              <w:t>4</w:t>
            </w:r>
            <w:r w:rsidR="000426DC" w:rsidRPr="00B13ACF">
              <w:rPr>
                <w:noProof/>
                <w:webHidden/>
              </w:rPr>
              <w:fldChar w:fldCharType="end"/>
            </w:r>
          </w:hyperlink>
        </w:p>
        <w:p w14:paraId="14CC6756" w14:textId="58CFF176" w:rsidR="000426DC" w:rsidRPr="00B13ACF" w:rsidRDefault="00BA04F3">
          <w:pPr>
            <w:pStyle w:val="Spistreci2"/>
            <w:rPr>
              <w:rFonts w:asciiTheme="minorHAnsi" w:eastAsiaTheme="minorEastAsia" w:hAnsiTheme="minorHAnsi" w:cstheme="minorBidi"/>
              <w:noProof/>
              <w:sz w:val="22"/>
              <w:szCs w:val="22"/>
            </w:rPr>
          </w:pPr>
          <w:hyperlink w:anchor="_Toc533170534" w:history="1">
            <w:r w:rsidR="000426DC" w:rsidRPr="00B13ACF">
              <w:rPr>
                <w:rStyle w:val="Hipercze"/>
                <w:rFonts w:eastAsia="Verdana"/>
                <w:noProof/>
                <w:color w:val="auto"/>
              </w:rPr>
              <w:t>1.</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Przedmiot i Okres Gwarancji Jakości</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_Toc533170534 \h </w:instrText>
            </w:r>
            <w:r w:rsidR="000426DC" w:rsidRPr="00B13ACF">
              <w:rPr>
                <w:noProof/>
                <w:webHidden/>
              </w:rPr>
            </w:r>
            <w:r w:rsidR="000426DC" w:rsidRPr="00B13ACF">
              <w:rPr>
                <w:noProof/>
                <w:webHidden/>
              </w:rPr>
              <w:fldChar w:fldCharType="separate"/>
            </w:r>
            <w:r w:rsidR="00437E0C">
              <w:rPr>
                <w:noProof/>
                <w:webHidden/>
              </w:rPr>
              <w:t>4</w:t>
            </w:r>
            <w:r w:rsidR="000426DC" w:rsidRPr="00B13ACF">
              <w:rPr>
                <w:noProof/>
                <w:webHidden/>
              </w:rPr>
              <w:fldChar w:fldCharType="end"/>
            </w:r>
          </w:hyperlink>
        </w:p>
        <w:p w14:paraId="00A5088A" w14:textId="0D7828BB" w:rsidR="000426DC" w:rsidRPr="00B13ACF" w:rsidRDefault="00BA04F3">
          <w:pPr>
            <w:pStyle w:val="Spistreci2"/>
            <w:rPr>
              <w:rFonts w:asciiTheme="minorHAnsi" w:eastAsiaTheme="minorEastAsia" w:hAnsiTheme="minorHAnsi" w:cstheme="minorBidi"/>
              <w:noProof/>
              <w:sz w:val="22"/>
              <w:szCs w:val="22"/>
            </w:rPr>
          </w:pPr>
          <w:hyperlink w:anchor="_Toc533170535" w:history="1">
            <w:r w:rsidR="000426DC" w:rsidRPr="00B13ACF">
              <w:rPr>
                <w:rStyle w:val="Hipercze"/>
                <w:rFonts w:eastAsia="Verdana"/>
                <w:noProof/>
                <w:color w:val="auto"/>
              </w:rPr>
              <w:t>2.</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Obowiązki i uprawnienia Stron</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_Toc533170535 \h </w:instrText>
            </w:r>
            <w:r w:rsidR="000426DC" w:rsidRPr="00B13ACF">
              <w:rPr>
                <w:noProof/>
                <w:webHidden/>
              </w:rPr>
            </w:r>
            <w:r w:rsidR="000426DC" w:rsidRPr="00B13ACF">
              <w:rPr>
                <w:noProof/>
                <w:webHidden/>
              </w:rPr>
              <w:fldChar w:fldCharType="separate"/>
            </w:r>
            <w:r w:rsidR="00437E0C">
              <w:rPr>
                <w:noProof/>
                <w:webHidden/>
              </w:rPr>
              <w:t>5</w:t>
            </w:r>
            <w:r w:rsidR="000426DC" w:rsidRPr="00B13ACF">
              <w:rPr>
                <w:noProof/>
                <w:webHidden/>
              </w:rPr>
              <w:fldChar w:fldCharType="end"/>
            </w:r>
          </w:hyperlink>
        </w:p>
        <w:p w14:paraId="564555BF" w14:textId="24D88F58" w:rsidR="000426DC" w:rsidRPr="00B13ACF" w:rsidRDefault="00BA04F3">
          <w:pPr>
            <w:pStyle w:val="Spistreci2"/>
            <w:rPr>
              <w:rFonts w:asciiTheme="minorHAnsi" w:eastAsiaTheme="minorEastAsia" w:hAnsiTheme="minorHAnsi" w:cstheme="minorBidi"/>
              <w:noProof/>
              <w:sz w:val="22"/>
              <w:szCs w:val="22"/>
            </w:rPr>
          </w:pPr>
          <w:hyperlink w:anchor="_Toc533170536" w:history="1">
            <w:r w:rsidR="000426DC" w:rsidRPr="00B13ACF">
              <w:rPr>
                <w:rStyle w:val="Hipercze"/>
                <w:rFonts w:eastAsia="Verdana"/>
                <w:noProof/>
                <w:color w:val="auto"/>
              </w:rPr>
              <w:t>3.</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Upoważnienie Zamawiającego (pełnomocnictwo)</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_Toc533170536 \h </w:instrText>
            </w:r>
            <w:r w:rsidR="000426DC" w:rsidRPr="00B13ACF">
              <w:rPr>
                <w:noProof/>
                <w:webHidden/>
              </w:rPr>
            </w:r>
            <w:r w:rsidR="000426DC" w:rsidRPr="00B13ACF">
              <w:rPr>
                <w:noProof/>
                <w:webHidden/>
              </w:rPr>
              <w:fldChar w:fldCharType="separate"/>
            </w:r>
            <w:r w:rsidR="00437E0C">
              <w:rPr>
                <w:noProof/>
                <w:webHidden/>
              </w:rPr>
              <w:t>5</w:t>
            </w:r>
            <w:r w:rsidR="000426DC" w:rsidRPr="00B13ACF">
              <w:rPr>
                <w:noProof/>
                <w:webHidden/>
              </w:rPr>
              <w:fldChar w:fldCharType="end"/>
            </w:r>
          </w:hyperlink>
        </w:p>
        <w:p w14:paraId="3CF76265" w14:textId="501F938E" w:rsidR="000426DC" w:rsidRPr="00B13ACF" w:rsidRDefault="00BA04F3">
          <w:pPr>
            <w:pStyle w:val="Spistreci2"/>
            <w:rPr>
              <w:rFonts w:asciiTheme="minorHAnsi" w:eastAsiaTheme="minorEastAsia" w:hAnsiTheme="minorHAnsi" w:cstheme="minorBidi"/>
              <w:noProof/>
              <w:sz w:val="22"/>
              <w:szCs w:val="22"/>
            </w:rPr>
          </w:pPr>
          <w:hyperlink w:anchor="_Toc533170537" w:history="1">
            <w:r w:rsidR="000426DC" w:rsidRPr="00B13ACF">
              <w:rPr>
                <w:rStyle w:val="Hipercze"/>
                <w:rFonts w:eastAsia="Verdana"/>
                <w:noProof/>
                <w:color w:val="auto"/>
              </w:rPr>
              <w:t>4.</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Komisyjne Przeglądy Gwarancyjne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_Toc533170537 \h </w:instrText>
            </w:r>
            <w:r w:rsidR="000426DC" w:rsidRPr="00B13ACF">
              <w:rPr>
                <w:noProof/>
                <w:webHidden/>
              </w:rPr>
            </w:r>
            <w:r w:rsidR="000426DC" w:rsidRPr="00B13ACF">
              <w:rPr>
                <w:noProof/>
                <w:webHidden/>
              </w:rPr>
              <w:fldChar w:fldCharType="separate"/>
            </w:r>
            <w:r w:rsidR="00437E0C">
              <w:rPr>
                <w:noProof/>
                <w:webHidden/>
              </w:rPr>
              <w:t>5</w:t>
            </w:r>
            <w:r w:rsidR="000426DC" w:rsidRPr="00B13ACF">
              <w:rPr>
                <w:noProof/>
                <w:webHidden/>
              </w:rPr>
              <w:fldChar w:fldCharType="end"/>
            </w:r>
          </w:hyperlink>
        </w:p>
        <w:p w14:paraId="7986921B" w14:textId="6BD7797C" w:rsidR="000426DC" w:rsidRPr="00B13ACF" w:rsidRDefault="00BA04F3">
          <w:pPr>
            <w:pStyle w:val="Spistreci2"/>
            <w:rPr>
              <w:rFonts w:asciiTheme="minorHAnsi" w:eastAsiaTheme="minorEastAsia" w:hAnsiTheme="minorHAnsi" w:cstheme="minorBidi"/>
              <w:noProof/>
              <w:sz w:val="22"/>
              <w:szCs w:val="22"/>
            </w:rPr>
          </w:pPr>
          <w:hyperlink w:anchor="_Toc533170538" w:history="1">
            <w:r w:rsidR="000426DC" w:rsidRPr="00B13ACF">
              <w:rPr>
                <w:rStyle w:val="Hipercze"/>
                <w:rFonts w:eastAsia="Verdana"/>
                <w:noProof/>
                <w:color w:val="auto"/>
              </w:rPr>
              <w:t>5.</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Tryb usuwania Wad</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_Toc533170538 \h </w:instrText>
            </w:r>
            <w:r w:rsidR="000426DC" w:rsidRPr="00B13ACF">
              <w:rPr>
                <w:noProof/>
                <w:webHidden/>
              </w:rPr>
            </w:r>
            <w:r w:rsidR="000426DC" w:rsidRPr="00B13ACF">
              <w:rPr>
                <w:noProof/>
                <w:webHidden/>
              </w:rPr>
              <w:fldChar w:fldCharType="separate"/>
            </w:r>
            <w:r w:rsidR="00437E0C">
              <w:rPr>
                <w:noProof/>
                <w:webHidden/>
              </w:rPr>
              <w:t>6</w:t>
            </w:r>
            <w:r w:rsidR="000426DC" w:rsidRPr="00B13ACF">
              <w:rPr>
                <w:noProof/>
                <w:webHidden/>
              </w:rPr>
              <w:fldChar w:fldCharType="end"/>
            </w:r>
          </w:hyperlink>
        </w:p>
        <w:p w14:paraId="3AA018B5" w14:textId="2A2B4DDD" w:rsidR="000426DC" w:rsidRPr="00B13ACF" w:rsidRDefault="00BA04F3">
          <w:pPr>
            <w:pStyle w:val="Spistreci2"/>
            <w:rPr>
              <w:rFonts w:asciiTheme="minorHAnsi" w:eastAsiaTheme="minorEastAsia" w:hAnsiTheme="minorHAnsi" w:cstheme="minorBidi"/>
              <w:noProof/>
              <w:sz w:val="22"/>
              <w:szCs w:val="22"/>
            </w:rPr>
          </w:pPr>
          <w:hyperlink w:anchor="_Toc533170539" w:history="1">
            <w:r w:rsidR="000426DC" w:rsidRPr="00B13ACF">
              <w:rPr>
                <w:rStyle w:val="Hipercze"/>
                <w:rFonts w:eastAsia="Verdana"/>
                <w:noProof/>
                <w:color w:val="auto"/>
              </w:rPr>
              <w:t>6.</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Komunikacja</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_Toc533170539 \h </w:instrText>
            </w:r>
            <w:r w:rsidR="000426DC" w:rsidRPr="00B13ACF">
              <w:rPr>
                <w:noProof/>
                <w:webHidden/>
              </w:rPr>
            </w:r>
            <w:r w:rsidR="000426DC" w:rsidRPr="00B13ACF">
              <w:rPr>
                <w:noProof/>
                <w:webHidden/>
              </w:rPr>
              <w:fldChar w:fldCharType="separate"/>
            </w:r>
            <w:r w:rsidR="00437E0C">
              <w:rPr>
                <w:noProof/>
                <w:webHidden/>
              </w:rPr>
              <w:t>7</w:t>
            </w:r>
            <w:r w:rsidR="000426DC" w:rsidRPr="00B13ACF">
              <w:rPr>
                <w:noProof/>
                <w:webHidden/>
              </w:rPr>
              <w:fldChar w:fldCharType="end"/>
            </w:r>
          </w:hyperlink>
        </w:p>
        <w:p w14:paraId="2AE0BE2F" w14:textId="501A7C16" w:rsidR="000426DC" w:rsidRPr="00B13ACF" w:rsidRDefault="00BA04F3">
          <w:pPr>
            <w:pStyle w:val="Spistreci2"/>
            <w:rPr>
              <w:rFonts w:asciiTheme="minorHAnsi" w:eastAsiaTheme="minorEastAsia" w:hAnsiTheme="minorHAnsi" w:cstheme="minorBidi"/>
              <w:noProof/>
              <w:sz w:val="22"/>
              <w:szCs w:val="22"/>
            </w:rPr>
          </w:pPr>
          <w:hyperlink w:anchor="_Toc533170540" w:history="1">
            <w:r w:rsidR="000426DC" w:rsidRPr="00B13ACF">
              <w:rPr>
                <w:rStyle w:val="Hipercze"/>
                <w:rFonts w:eastAsia="Verdana"/>
                <w:noProof/>
                <w:color w:val="auto"/>
              </w:rPr>
              <w:t>7.</w:t>
            </w:r>
            <w:r w:rsidR="000426DC" w:rsidRPr="00B13ACF">
              <w:rPr>
                <w:rFonts w:asciiTheme="minorHAnsi" w:eastAsiaTheme="minorEastAsia" w:hAnsiTheme="minorHAnsi" w:cstheme="minorBidi"/>
                <w:noProof/>
                <w:sz w:val="22"/>
                <w:szCs w:val="22"/>
              </w:rPr>
              <w:tab/>
            </w:r>
            <w:r w:rsidR="000426DC" w:rsidRPr="00B13ACF">
              <w:rPr>
                <w:rStyle w:val="Hipercze"/>
                <w:rFonts w:eastAsia="Verdana"/>
                <w:noProof/>
                <w:color w:val="auto"/>
              </w:rPr>
              <w:t>Kary</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_Toc533170540 \h </w:instrText>
            </w:r>
            <w:r w:rsidR="000426DC" w:rsidRPr="00B13ACF">
              <w:rPr>
                <w:noProof/>
                <w:webHidden/>
              </w:rPr>
            </w:r>
            <w:r w:rsidR="000426DC" w:rsidRPr="00B13ACF">
              <w:rPr>
                <w:noProof/>
                <w:webHidden/>
              </w:rPr>
              <w:fldChar w:fldCharType="separate"/>
            </w:r>
            <w:r w:rsidR="00437E0C">
              <w:rPr>
                <w:noProof/>
                <w:webHidden/>
              </w:rPr>
              <w:t>8</w:t>
            </w:r>
            <w:r w:rsidR="000426DC" w:rsidRPr="00B13ACF">
              <w:rPr>
                <w:noProof/>
                <w:webHidden/>
              </w:rPr>
              <w:fldChar w:fldCharType="end"/>
            </w:r>
          </w:hyperlink>
        </w:p>
        <w:p w14:paraId="7F274C18" w14:textId="77777777" w:rsidR="005E0823" w:rsidRPr="00B13ACF" w:rsidRDefault="005E0823" w:rsidP="005E0823">
          <w:pPr>
            <w:rPr>
              <w:noProof/>
            </w:rPr>
          </w:pPr>
        </w:p>
        <w:p w14:paraId="39FAB2DA" w14:textId="7AE210A6" w:rsidR="000426DC" w:rsidRPr="00B13ACF" w:rsidRDefault="00BA04F3">
          <w:pPr>
            <w:pStyle w:val="Spistreci1"/>
            <w:rPr>
              <w:rFonts w:asciiTheme="minorHAnsi" w:eastAsiaTheme="minorEastAsia" w:hAnsiTheme="minorHAnsi" w:cstheme="minorBidi"/>
              <w:noProof/>
              <w:sz w:val="22"/>
              <w:szCs w:val="22"/>
            </w:rPr>
          </w:pPr>
          <w:hyperlink w:anchor="_Toc533170542" w:history="1">
            <w:r w:rsidR="000426DC" w:rsidRPr="00B13ACF">
              <w:rPr>
                <w:rStyle w:val="Hipercze"/>
                <w:noProof/>
                <w:color w:val="auto"/>
              </w:rPr>
              <w:t>III.</w:t>
            </w:r>
            <w:r w:rsidR="000426DC" w:rsidRPr="00B13ACF">
              <w:rPr>
                <w:rFonts w:asciiTheme="minorHAnsi" w:eastAsiaTheme="minorEastAsia" w:hAnsiTheme="minorHAnsi" w:cstheme="minorBidi"/>
                <w:noProof/>
                <w:sz w:val="22"/>
                <w:szCs w:val="22"/>
              </w:rPr>
              <w:tab/>
            </w:r>
            <w:r w:rsidR="000426DC" w:rsidRPr="00B13ACF">
              <w:rPr>
                <w:rStyle w:val="Hipercze"/>
                <w:noProof/>
                <w:color w:val="auto"/>
              </w:rPr>
              <w:t>CZĘŚĆ SZCZEGÓŁOWA</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_Toc533170542 \h </w:instrText>
            </w:r>
            <w:r w:rsidR="000426DC" w:rsidRPr="00B13ACF">
              <w:rPr>
                <w:noProof/>
                <w:webHidden/>
              </w:rPr>
            </w:r>
            <w:r w:rsidR="000426DC" w:rsidRPr="00B13ACF">
              <w:rPr>
                <w:noProof/>
                <w:webHidden/>
              </w:rPr>
              <w:fldChar w:fldCharType="separate"/>
            </w:r>
            <w:r w:rsidR="00437E0C">
              <w:rPr>
                <w:noProof/>
                <w:webHidden/>
              </w:rPr>
              <w:t>9</w:t>
            </w:r>
            <w:r w:rsidR="000426DC" w:rsidRPr="00B13ACF">
              <w:rPr>
                <w:noProof/>
                <w:webHidden/>
              </w:rPr>
              <w:fldChar w:fldCharType="end"/>
            </w:r>
          </w:hyperlink>
        </w:p>
        <w:p w14:paraId="61AC15A2" w14:textId="64E7C5A2" w:rsidR="000426DC" w:rsidRPr="00B13ACF" w:rsidRDefault="00BA04F3">
          <w:pPr>
            <w:pStyle w:val="Spistreci2"/>
            <w:rPr>
              <w:rFonts w:asciiTheme="minorHAnsi" w:eastAsiaTheme="minorEastAsia" w:hAnsiTheme="minorHAnsi" w:cstheme="minorBidi"/>
              <w:noProof/>
              <w:sz w:val="22"/>
              <w:szCs w:val="22"/>
            </w:rPr>
          </w:pPr>
          <w:hyperlink w:anchor="_Toc533170543" w:history="1">
            <w:r w:rsidR="000426DC" w:rsidRPr="00B13ACF">
              <w:rPr>
                <w:rStyle w:val="Hipercze"/>
                <w:rFonts w:eastAsia="Calibri"/>
                <w:noProof/>
                <w:color w:val="auto"/>
              </w:rPr>
              <w:t>1.</w:t>
            </w:r>
            <w:r w:rsidR="000426DC" w:rsidRPr="00B13ACF">
              <w:rPr>
                <w:rFonts w:asciiTheme="minorHAnsi" w:eastAsiaTheme="minorEastAsia" w:hAnsiTheme="minorHAnsi" w:cstheme="minorBidi"/>
                <w:noProof/>
                <w:sz w:val="22"/>
                <w:szCs w:val="22"/>
              </w:rPr>
              <w:tab/>
            </w:r>
            <w:r w:rsidR="000426DC" w:rsidRPr="00B13ACF">
              <w:rPr>
                <w:rStyle w:val="Hipercze"/>
                <w:rFonts w:eastAsia="Calibri"/>
                <w:noProof/>
                <w:color w:val="auto"/>
              </w:rPr>
              <w:t>NAWIERZCHNIE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_Toc533170543 \h </w:instrText>
            </w:r>
            <w:r w:rsidR="000426DC" w:rsidRPr="00B13ACF">
              <w:rPr>
                <w:noProof/>
                <w:webHidden/>
              </w:rPr>
            </w:r>
            <w:r w:rsidR="000426DC" w:rsidRPr="00B13ACF">
              <w:rPr>
                <w:noProof/>
                <w:webHidden/>
              </w:rPr>
              <w:fldChar w:fldCharType="separate"/>
            </w:r>
            <w:r w:rsidR="00437E0C">
              <w:rPr>
                <w:noProof/>
                <w:webHidden/>
              </w:rPr>
              <w:t>9</w:t>
            </w:r>
            <w:r w:rsidR="000426DC" w:rsidRPr="00B13ACF">
              <w:rPr>
                <w:noProof/>
                <w:webHidden/>
              </w:rPr>
              <w:fldChar w:fldCharType="end"/>
            </w:r>
          </w:hyperlink>
        </w:p>
        <w:p w14:paraId="6237E701" w14:textId="11B01FCD" w:rsidR="000426DC" w:rsidRPr="00B13ACF" w:rsidRDefault="00BA04F3">
          <w:pPr>
            <w:pStyle w:val="Spistreci2"/>
            <w:rPr>
              <w:rFonts w:asciiTheme="minorHAnsi" w:eastAsiaTheme="minorEastAsia" w:hAnsiTheme="minorHAnsi" w:cstheme="minorBidi"/>
              <w:noProof/>
              <w:sz w:val="22"/>
              <w:szCs w:val="22"/>
            </w:rPr>
          </w:pPr>
          <w:hyperlink w:anchor="_Toc533170545" w:history="1">
            <w:r w:rsidR="00437E0C">
              <w:rPr>
                <w:rStyle w:val="Hipercze"/>
                <w:rFonts w:eastAsia="Calibri"/>
                <w:noProof/>
                <w:color w:val="auto"/>
              </w:rPr>
              <w:t>2</w:t>
            </w:r>
            <w:r w:rsidR="000426DC" w:rsidRPr="00B13ACF">
              <w:rPr>
                <w:rStyle w:val="Hipercze"/>
                <w:rFonts w:eastAsia="Calibri"/>
                <w:noProof/>
                <w:color w:val="auto"/>
              </w:rPr>
              <w:t>.</w:t>
            </w:r>
            <w:r w:rsidR="000426DC" w:rsidRPr="00B13ACF">
              <w:rPr>
                <w:rFonts w:asciiTheme="minorHAnsi" w:eastAsiaTheme="minorEastAsia" w:hAnsiTheme="minorHAnsi" w:cstheme="minorBidi"/>
                <w:noProof/>
                <w:sz w:val="22"/>
                <w:szCs w:val="22"/>
              </w:rPr>
              <w:tab/>
            </w:r>
            <w:r w:rsidR="000426DC" w:rsidRPr="00B13ACF">
              <w:rPr>
                <w:rStyle w:val="Hipercze"/>
                <w:rFonts w:eastAsia="Calibri"/>
                <w:noProof/>
                <w:color w:val="auto"/>
              </w:rPr>
              <w:t>OZNAKOWANIE DRÓG ORAZ URZĄDZENIA BRD</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_Toc533170545 \h </w:instrText>
            </w:r>
            <w:r w:rsidR="000426DC" w:rsidRPr="00B13ACF">
              <w:rPr>
                <w:noProof/>
                <w:webHidden/>
              </w:rPr>
            </w:r>
            <w:r w:rsidR="000426DC" w:rsidRPr="00B13ACF">
              <w:rPr>
                <w:noProof/>
                <w:webHidden/>
              </w:rPr>
              <w:fldChar w:fldCharType="separate"/>
            </w:r>
            <w:r w:rsidR="00437E0C">
              <w:rPr>
                <w:noProof/>
                <w:webHidden/>
              </w:rPr>
              <w:t>15</w:t>
            </w:r>
            <w:r w:rsidR="000426DC" w:rsidRPr="00B13ACF">
              <w:rPr>
                <w:noProof/>
                <w:webHidden/>
              </w:rPr>
              <w:fldChar w:fldCharType="end"/>
            </w:r>
          </w:hyperlink>
        </w:p>
        <w:p w14:paraId="15A5FA0A" w14:textId="7951B76F" w:rsidR="000426DC" w:rsidRPr="00B13ACF" w:rsidRDefault="00BA04F3">
          <w:pPr>
            <w:pStyle w:val="Spistreci2"/>
            <w:rPr>
              <w:rFonts w:asciiTheme="minorHAnsi" w:eastAsiaTheme="minorEastAsia" w:hAnsiTheme="minorHAnsi" w:cstheme="minorBidi"/>
              <w:noProof/>
              <w:sz w:val="22"/>
              <w:szCs w:val="22"/>
            </w:rPr>
          </w:pPr>
          <w:hyperlink w:anchor="_Toc533170546" w:history="1">
            <w:r w:rsidR="00437E0C">
              <w:rPr>
                <w:rStyle w:val="Hipercze"/>
                <w:rFonts w:eastAsia="Calibri"/>
                <w:noProof/>
                <w:color w:val="auto"/>
              </w:rPr>
              <w:t>3</w:t>
            </w:r>
            <w:r w:rsidR="000426DC" w:rsidRPr="00B13ACF">
              <w:rPr>
                <w:rStyle w:val="Hipercze"/>
                <w:rFonts w:eastAsia="Calibri"/>
                <w:noProof/>
                <w:color w:val="auto"/>
              </w:rPr>
              <w:t>.</w:t>
            </w:r>
            <w:r w:rsidR="000426DC" w:rsidRPr="00B13ACF">
              <w:rPr>
                <w:rFonts w:asciiTheme="minorHAnsi" w:eastAsiaTheme="minorEastAsia" w:hAnsiTheme="minorHAnsi" w:cstheme="minorBidi"/>
                <w:noProof/>
                <w:sz w:val="22"/>
                <w:szCs w:val="22"/>
              </w:rPr>
              <w:tab/>
            </w:r>
            <w:r w:rsidR="000426DC" w:rsidRPr="00B13ACF">
              <w:rPr>
                <w:rStyle w:val="Hipercze"/>
                <w:rFonts w:eastAsia="Calibri"/>
                <w:noProof/>
                <w:color w:val="auto"/>
              </w:rPr>
              <w:t>ZIELEŃ</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_Toc533170546 \h </w:instrText>
            </w:r>
            <w:r w:rsidR="000426DC" w:rsidRPr="00B13ACF">
              <w:rPr>
                <w:noProof/>
                <w:webHidden/>
              </w:rPr>
            </w:r>
            <w:r w:rsidR="000426DC" w:rsidRPr="00B13ACF">
              <w:rPr>
                <w:noProof/>
                <w:webHidden/>
              </w:rPr>
              <w:fldChar w:fldCharType="separate"/>
            </w:r>
            <w:r w:rsidR="00437E0C">
              <w:rPr>
                <w:noProof/>
                <w:webHidden/>
              </w:rPr>
              <w:t>15</w:t>
            </w:r>
            <w:r w:rsidR="000426DC" w:rsidRPr="00B13ACF">
              <w:rPr>
                <w:noProof/>
                <w:webHidden/>
              </w:rPr>
              <w:fldChar w:fldCharType="end"/>
            </w:r>
          </w:hyperlink>
        </w:p>
        <w:p w14:paraId="1B7621F5" w14:textId="7903B80F" w:rsidR="000426DC" w:rsidRPr="00B13ACF" w:rsidRDefault="00BA04F3">
          <w:pPr>
            <w:pStyle w:val="Spistreci2"/>
            <w:rPr>
              <w:rFonts w:asciiTheme="minorHAnsi" w:eastAsiaTheme="minorEastAsia" w:hAnsiTheme="minorHAnsi" w:cstheme="minorBidi"/>
              <w:noProof/>
              <w:sz w:val="22"/>
              <w:szCs w:val="22"/>
            </w:rPr>
          </w:pPr>
          <w:hyperlink w:anchor="_Toc533170548" w:history="1">
            <w:r w:rsidR="00437E0C">
              <w:rPr>
                <w:rStyle w:val="Hipercze"/>
                <w:bCs/>
                <w:iCs/>
                <w:noProof/>
                <w:color w:val="auto"/>
              </w:rPr>
              <w:t>4</w:t>
            </w:r>
            <w:r w:rsidR="000426DC" w:rsidRPr="00B13ACF">
              <w:rPr>
                <w:rStyle w:val="Hipercze"/>
                <w:bCs/>
                <w:iCs/>
                <w:noProof/>
                <w:color w:val="auto"/>
              </w:rPr>
              <w:t>.</w:t>
            </w:r>
            <w:r w:rsidR="000426DC" w:rsidRPr="00B13ACF">
              <w:rPr>
                <w:rFonts w:asciiTheme="minorHAnsi" w:eastAsiaTheme="minorEastAsia" w:hAnsiTheme="minorHAnsi" w:cstheme="minorBidi"/>
                <w:noProof/>
                <w:sz w:val="22"/>
                <w:szCs w:val="22"/>
              </w:rPr>
              <w:tab/>
            </w:r>
            <w:r w:rsidR="000426DC" w:rsidRPr="00B13ACF">
              <w:rPr>
                <w:rStyle w:val="Hipercze"/>
                <w:bCs/>
                <w:iCs/>
                <w:noProof/>
                <w:color w:val="auto"/>
              </w:rPr>
              <w:t>DROGOWE OBIEKTY INŻYNIERSKIE</w:t>
            </w:r>
            <w:r w:rsidR="000426DC" w:rsidRPr="00B13ACF">
              <w:rPr>
                <w:noProof/>
                <w:webHidden/>
              </w:rPr>
              <w:tab/>
            </w:r>
            <w:r w:rsidR="000426DC" w:rsidRPr="00B13ACF">
              <w:rPr>
                <w:noProof/>
                <w:webHidden/>
              </w:rPr>
              <w:fldChar w:fldCharType="begin"/>
            </w:r>
            <w:r w:rsidR="000426DC" w:rsidRPr="00B13ACF">
              <w:rPr>
                <w:noProof/>
                <w:webHidden/>
              </w:rPr>
              <w:instrText xml:space="preserve"> PAGEREF _Toc533170548 \h </w:instrText>
            </w:r>
            <w:r w:rsidR="000426DC" w:rsidRPr="00B13ACF">
              <w:rPr>
                <w:noProof/>
                <w:webHidden/>
              </w:rPr>
            </w:r>
            <w:r w:rsidR="000426DC" w:rsidRPr="00B13ACF">
              <w:rPr>
                <w:noProof/>
                <w:webHidden/>
              </w:rPr>
              <w:fldChar w:fldCharType="separate"/>
            </w:r>
            <w:r w:rsidR="00437E0C">
              <w:rPr>
                <w:noProof/>
                <w:webHidden/>
              </w:rPr>
              <w:t>15</w:t>
            </w:r>
            <w:r w:rsidR="000426DC" w:rsidRPr="00B13ACF">
              <w:rPr>
                <w:noProof/>
                <w:webHidden/>
              </w:rPr>
              <w:fldChar w:fldCharType="end"/>
            </w:r>
          </w:hyperlink>
        </w:p>
        <w:p w14:paraId="08AD3B6B" w14:textId="0FF2077D" w:rsidR="00363999" w:rsidRPr="00B13ACF" w:rsidRDefault="00363999" w:rsidP="00363999">
          <w:pPr>
            <w:spacing w:before="80" w:after="0"/>
            <w:ind w:left="10" w:right="70" w:hanging="10"/>
            <w:jc w:val="both"/>
            <w:rPr>
              <w:rFonts w:eastAsia="Verdana" w:cs="Verdana"/>
            </w:rPr>
          </w:pPr>
          <w:r w:rsidRPr="00B13ACF">
            <w:rPr>
              <w:rFonts w:eastAsia="Verdana" w:cs="Verdana"/>
            </w:rPr>
            <w:fldChar w:fldCharType="end"/>
          </w:r>
        </w:p>
      </w:sdtContent>
    </w:sdt>
    <w:p w14:paraId="78CD3CF4" w14:textId="77777777" w:rsidR="00363999" w:rsidRPr="00B13ACF" w:rsidRDefault="00363999" w:rsidP="00363999">
      <w:pPr>
        <w:spacing w:before="80" w:after="0"/>
        <w:rPr>
          <w:rFonts w:eastAsia="Verdana" w:cs="Verdana"/>
        </w:rPr>
      </w:pPr>
      <w:r w:rsidRPr="00B13ACF">
        <w:rPr>
          <w:rFonts w:eastAsia="Verdana" w:cs="Verdana"/>
        </w:rPr>
        <w:br w:type="page"/>
      </w:r>
    </w:p>
    <w:p w14:paraId="74A8489C" w14:textId="77777777" w:rsidR="00363999" w:rsidRPr="00B13ACF" w:rsidRDefault="00363999" w:rsidP="00661C26">
      <w:pPr>
        <w:pStyle w:val="Nagwek1"/>
        <w:numPr>
          <w:ilvl w:val="0"/>
          <w:numId w:val="24"/>
        </w:numPr>
        <w:spacing w:before="80" w:after="0"/>
        <w:ind w:left="426" w:hanging="426"/>
        <w:rPr>
          <w:rFonts w:eastAsia="Verdana"/>
          <w:kern w:val="0"/>
          <w:szCs w:val="20"/>
        </w:rPr>
      </w:pPr>
      <w:bookmarkStart w:id="3" w:name="_Toc455047564"/>
      <w:bookmarkStart w:id="4" w:name="_Toc533170532"/>
      <w:r w:rsidRPr="00B13ACF">
        <w:rPr>
          <w:rFonts w:eastAsia="Verdana"/>
          <w:kern w:val="0"/>
          <w:szCs w:val="20"/>
        </w:rPr>
        <w:lastRenderedPageBreak/>
        <w:t>INFORMACJE WSTĘPNE</w:t>
      </w:r>
      <w:bookmarkEnd w:id="3"/>
      <w:bookmarkEnd w:id="4"/>
      <w:r w:rsidRPr="00B13ACF">
        <w:rPr>
          <w:rFonts w:eastAsia="Verdana"/>
          <w:kern w:val="0"/>
          <w:szCs w:val="20"/>
        </w:rPr>
        <w:t xml:space="preserve"> </w:t>
      </w:r>
    </w:p>
    <w:p w14:paraId="76F67F21" w14:textId="77777777" w:rsidR="00363999" w:rsidRPr="00B13ACF" w:rsidRDefault="00363999" w:rsidP="00363999">
      <w:pPr>
        <w:spacing w:before="80" w:after="0"/>
        <w:rPr>
          <w:rFonts w:eastAsia="Verdana" w:cs="Verdana"/>
        </w:rPr>
      </w:pPr>
    </w:p>
    <w:p w14:paraId="69781BEF"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Nazwa zadania:</w:t>
      </w:r>
    </w:p>
    <w:p w14:paraId="3FD47EE9" w14:textId="77777777" w:rsidR="00363999" w:rsidRPr="00B13ACF" w:rsidRDefault="00363999" w:rsidP="00363999">
      <w:pPr>
        <w:spacing w:before="80" w:after="0"/>
        <w:rPr>
          <w:rFonts w:eastAsia="Verdana" w:cs="Verdana"/>
        </w:rPr>
      </w:pPr>
    </w:p>
    <w:p w14:paraId="56157760" w14:textId="77777777" w:rsidR="00363999" w:rsidRPr="00B13ACF" w:rsidRDefault="00363999" w:rsidP="00363999">
      <w:pPr>
        <w:spacing w:before="80" w:after="0"/>
        <w:rPr>
          <w:rFonts w:eastAsia="Verdana" w:cs="Verdana"/>
        </w:rPr>
      </w:pPr>
    </w:p>
    <w:p w14:paraId="109189B3" w14:textId="14E61F43" w:rsidR="00363999" w:rsidRPr="00B13ACF" w:rsidRDefault="00363999" w:rsidP="00363999">
      <w:pPr>
        <w:spacing w:before="80" w:after="0"/>
        <w:ind w:left="-5" w:right="63" w:hanging="10"/>
        <w:jc w:val="both"/>
        <w:rPr>
          <w:rFonts w:eastAsia="Verdana" w:cs="Verdana"/>
        </w:rPr>
      </w:pPr>
      <w:r w:rsidRPr="00B13ACF">
        <w:rPr>
          <w:rFonts w:eastAsia="Verdana" w:cs="Verdana"/>
        </w:rPr>
        <w:t xml:space="preserve">Kontrakt </w:t>
      </w:r>
      <w:r w:rsidR="00C254E1" w:rsidRPr="00B13ACF">
        <w:rPr>
          <w:rFonts w:eastAsia="Verdana" w:cs="Verdana"/>
        </w:rPr>
        <w:t xml:space="preserve">(umowa) </w:t>
      </w:r>
      <w:r w:rsidRPr="00B13ACF">
        <w:rPr>
          <w:rFonts w:eastAsia="Verdana" w:cs="Verdana"/>
        </w:rPr>
        <w:t>nr: ………………………………</w:t>
      </w:r>
    </w:p>
    <w:p w14:paraId="3A5C5A1D" w14:textId="77777777" w:rsidR="00363999" w:rsidRPr="00B13ACF" w:rsidRDefault="00363999" w:rsidP="00363999">
      <w:pPr>
        <w:spacing w:before="80" w:after="0"/>
        <w:rPr>
          <w:rFonts w:eastAsia="Verdana" w:cs="Verdana"/>
        </w:rPr>
      </w:pPr>
    </w:p>
    <w:p w14:paraId="03F9EC52" w14:textId="77777777" w:rsidR="00363999" w:rsidRPr="00B13ACF" w:rsidRDefault="00363999" w:rsidP="00363999">
      <w:pPr>
        <w:spacing w:before="80" w:after="0"/>
        <w:rPr>
          <w:rFonts w:eastAsia="Verdana" w:cs="Verdana"/>
        </w:rPr>
      </w:pPr>
    </w:p>
    <w:p w14:paraId="25EBBAD7" w14:textId="77777777" w:rsidR="00363999" w:rsidRPr="00B13ACF" w:rsidRDefault="00363999" w:rsidP="00363999">
      <w:pPr>
        <w:spacing w:before="80" w:after="0"/>
        <w:ind w:left="-5" w:right="-2" w:hanging="10"/>
        <w:rPr>
          <w:rFonts w:eastAsia="Verdana" w:cs="Verdana"/>
        </w:rPr>
      </w:pPr>
      <w:r w:rsidRPr="00B13ACF">
        <w:rPr>
          <w:rFonts w:eastAsia="Verdana" w:cs="Verdana"/>
        </w:rPr>
        <w:t>GWARANTEM jest:</w:t>
      </w:r>
    </w:p>
    <w:p w14:paraId="5F6B94A8" w14:textId="77777777" w:rsidR="00363999" w:rsidRPr="00B13ACF" w:rsidRDefault="00363999" w:rsidP="00363999">
      <w:pPr>
        <w:spacing w:before="80" w:after="0"/>
        <w:ind w:left="-5" w:right="-2" w:hanging="10"/>
        <w:rPr>
          <w:rFonts w:eastAsia="Verdana" w:cs="Verdana"/>
        </w:rPr>
      </w:pPr>
      <w:r w:rsidRPr="00B13ACF">
        <w:rPr>
          <w:rFonts w:eastAsia="Verdana" w:cs="Verdana"/>
        </w:rPr>
        <w:t xml:space="preserve">[nazwa, adres, dane z KRS] </w:t>
      </w:r>
    </w:p>
    <w:p w14:paraId="3D32E6F8" w14:textId="28833118" w:rsidR="00363999" w:rsidRPr="00B13ACF" w:rsidRDefault="00363999" w:rsidP="00363999">
      <w:pPr>
        <w:spacing w:before="80" w:after="0"/>
        <w:ind w:left="-5" w:right="-2" w:hanging="10"/>
        <w:rPr>
          <w:rFonts w:eastAsia="Verdana" w:cs="Verdana"/>
        </w:rPr>
      </w:pPr>
      <w:r w:rsidRPr="00B13ACF">
        <w:rPr>
          <w:rFonts w:eastAsia="Verdana" w:cs="Verdana"/>
        </w:rPr>
        <w:t xml:space="preserve">będący Wykonawcą </w:t>
      </w:r>
    </w:p>
    <w:p w14:paraId="64D38E2F" w14:textId="77777777" w:rsidR="00363999" w:rsidRPr="00B13ACF" w:rsidRDefault="00363999" w:rsidP="00363999">
      <w:pPr>
        <w:spacing w:before="80" w:after="0"/>
        <w:rPr>
          <w:rFonts w:eastAsia="Verdana" w:cs="Verdana"/>
        </w:rPr>
      </w:pPr>
    </w:p>
    <w:p w14:paraId="230295F7" w14:textId="77777777" w:rsidR="00363999" w:rsidRPr="00B13ACF" w:rsidRDefault="00363999" w:rsidP="00363999">
      <w:pPr>
        <w:spacing w:before="80" w:after="0"/>
        <w:rPr>
          <w:rFonts w:eastAsia="Verdana" w:cs="Verdana"/>
        </w:rPr>
      </w:pPr>
    </w:p>
    <w:p w14:paraId="353FE5FE"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 xml:space="preserve">Uprawnionym z tytułu Gwarancji Jakości jest: </w:t>
      </w:r>
    </w:p>
    <w:p w14:paraId="6F672321"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Skarb Państwa – Generalny Dyrektor Dróg Krajowych i Autostrad, Oddział z siedzibą w …………………………………….</w:t>
      </w:r>
    </w:p>
    <w:p w14:paraId="62BB8B5E" w14:textId="77777777" w:rsidR="00363999" w:rsidRPr="00B13ACF" w:rsidRDefault="00363999" w:rsidP="00363999">
      <w:pPr>
        <w:spacing w:before="80" w:after="0"/>
        <w:ind w:left="-5" w:right="63" w:hanging="10"/>
        <w:jc w:val="both"/>
        <w:rPr>
          <w:rFonts w:eastAsia="Verdana" w:cs="Verdana"/>
        </w:rPr>
      </w:pPr>
    </w:p>
    <w:p w14:paraId="4FDE8205"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 xml:space="preserve">zwany dalej „Zamawiającym”, </w:t>
      </w:r>
    </w:p>
    <w:p w14:paraId="262ED0BC" w14:textId="77777777" w:rsidR="00363999" w:rsidRPr="00B13ACF" w:rsidRDefault="00363999" w:rsidP="00363999">
      <w:pPr>
        <w:spacing w:before="80" w:after="0"/>
        <w:ind w:left="-5" w:right="63" w:hanging="10"/>
        <w:jc w:val="both"/>
        <w:rPr>
          <w:rFonts w:eastAsia="Verdana" w:cs="Verdana"/>
        </w:rPr>
      </w:pPr>
      <w:r w:rsidRPr="00B13ACF">
        <w:rPr>
          <w:rFonts w:eastAsia="Verdana" w:cs="Verdana"/>
        </w:rPr>
        <w:t>zwane dalej „Stronami”.</w:t>
      </w:r>
    </w:p>
    <w:p w14:paraId="6D0A8ABF" w14:textId="77777777" w:rsidR="00363999" w:rsidRPr="00B13ACF" w:rsidRDefault="00363999" w:rsidP="00363999">
      <w:pPr>
        <w:spacing w:before="80" w:after="0"/>
        <w:rPr>
          <w:rFonts w:eastAsia="Verdana" w:cs="Verdana"/>
        </w:rPr>
      </w:pPr>
    </w:p>
    <w:p w14:paraId="4879A20B" w14:textId="77777777" w:rsidR="00363999" w:rsidRPr="00B13ACF" w:rsidRDefault="00363999" w:rsidP="00363999">
      <w:pPr>
        <w:spacing w:before="80" w:after="0"/>
        <w:rPr>
          <w:rFonts w:eastAsia="Verdana" w:cs="Verdana"/>
        </w:rPr>
      </w:pPr>
    </w:p>
    <w:p w14:paraId="7D4A661F" w14:textId="77777777" w:rsidR="00363999" w:rsidRPr="00B13ACF" w:rsidRDefault="00363999" w:rsidP="00363999">
      <w:pPr>
        <w:spacing w:before="80" w:after="0"/>
        <w:rPr>
          <w:rFonts w:eastAsia="Verdana" w:cs="Verdana"/>
        </w:rPr>
      </w:pPr>
    </w:p>
    <w:p w14:paraId="2A3CA335" w14:textId="77777777" w:rsidR="00363999" w:rsidRPr="00B13ACF" w:rsidRDefault="00363999" w:rsidP="00363999">
      <w:pPr>
        <w:spacing w:before="80" w:after="0"/>
        <w:rPr>
          <w:rFonts w:eastAsia="Verdana" w:cs="Verdana"/>
        </w:rPr>
      </w:pPr>
    </w:p>
    <w:p w14:paraId="734DEA1D" w14:textId="77777777" w:rsidR="00363999" w:rsidRPr="00B13ACF" w:rsidRDefault="00363999" w:rsidP="00363999">
      <w:pPr>
        <w:spacing w:before="80" w:after="0"/>
        <w:rPr>
          <w:rFonts w:eastAsia="Verdana" w:cs="Verdana"/>
        </w:rPr>
      </w:pPr>
    </w:p>
    <w:p w14:paraId="0F1B4DC7" w14:textId="77777777" w:rsidR="00363999" w:rsidRPr="00B13ACF" w:rsidRDefault="00363999" w:rsidP="00363999">
      <w:pPr>
        <w:spacing w:before="80" w:after="0"/>
        <w:rPr>
          <w:rFonts w:eastAsia="Verdana" w:cs="Verdana"/>
        </w:rPr>
      </w:pPr>
      <w:r w:rsidRPr="00B13ACF">
        <w:rPr>
          <w:rFonts w:eastAsia="Verdana" w:cs="Verdana"/>
        </w:rPr>
        <w:br w:type="page"/>
      </w:r>
    </w:p>
    <w:p w14:paraId="25838CDB" w14:textId="77777777" w:rsidR="00363999" w:rsidRPr="00B13ACF" w:rsidRDefault="00363999" w:rsidP="00661C26">
      <w:pPr>
        <w:pStyle w:val="Nagwek1"/>
        <w:numPr>
          <w:ilvl w:val="0"/>
          <w:numId w:val="24"/>
        </w:numPr>
        <w:spacing w:before="80" w:after="0"/>
        <w:ind w:left="567" w:hanging="567"/>
        <w:rPr>
          <w:rFonts w:eastAsia="Verdana"/>
          <w:kern w:val="0"/>
          <w:szCs w:val="20"/>
        </w:rPr>
      </w:pPr>
      <w:bookmarkStart w:id="5" w:name="_Toc455047565"/>
      <w:bookmarkStart w:id="6" w:name="_Toc533170533"/>
      <w:r w:rsidRPr="00B13ACF">
        <w:rPr>
          <w:rFonts w:eastAsia="Verdana"/>
          <w:kern w:val="0"/>
          <w:szCs w:val="20"/>
        </w:rPr>
        <w:lastRenderedPageBreak/>
        <w:t>CZĘŚĆ OGÓLNA</w:t>
      </w:r>
      <w:bookmarkEnd w:id="5"/>
      <w:bookmarkEnd w:id="6"/>
      <w:r w:rsidRPr="00B13ACF">
        <w:rPr>
          <w:rFonts w:eastAsia="Verdana"/>
          <w:kern w:val="0"/>
          <w:szCs w:val="20"/>
        </w:rPr>
        <w:t xml:space="preserve"> </w:t>
      </w:r>
    </w:p>
    <w:p w14:paraId="42BF84ED" w14:textId="77777777" w:rsidR="00363999" w:rsidRPr="00B13ACF" w:rsidRDefault="00363999" w:rsidP="00661C26">
      <w:pPr>
        <w:pStyle w:val="Nagwek2"/>
        <w:numPr>
          <w:ilvl w:val="0"/>
          <w:numId w:val="19"/>
        </w:numPr>
        <w:spacing w:before="80" w:after="0"/>
        <w:ind w:left="567" w:hanging="567"/>
        <w:rPr>
          <w:rFonts w:eastAsia="Verdana"/>
          <w:szCs w:val="20"/>
        </w:rPr>
      </w:pPr>
      <w:bookmarkStart w:id="7" w:name="_Toc455047566"/>
      <w:bookmarkStart w:id="8" w:name="_Toc533170534"/>
      <w:r w:rsidRPr="00B13ACF">
        <w:rPr>
          <w:rFonts w:eastAsia="Verdana"/>
          <w:szCs w:val="20"/>
        </w:rPr>
        <w:t>Przedmiot i Okres Gwarancji Jakości</w:t>
      </w:r>
      <w:bookmarkEnd w:id="7"/>
      <w:bookmarkEnd w:id="8"/>
      <w:r w:rsidRPr="00B13ACF">
        <w:rPr>
          <w:rFonts w:eastAsia="Verdana"/>
          <w:szCs w:val="20"/>
        </w:rPr>
        <w:t xml:space="preserve"> </w:t>
      </w:r>
    </w:p>
    <w:p w14:paraId="485B49FE"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Niniejsza Gwarancja Jakości (dalej zwana również „Gwarancją”) obejmuje całość Robót i Dokumentów Wykonawcy objętych przedmiotem zamówienia (dalej Przedmiotem Umowy) pt. „……………………………………” określonych w Umowie oraz w innych dokumentach będących integralną częścią Umowy. Gwarant oświadcza, że niniejsza gwarancja nie wyłącza, nie ogranicza ani nie zawiesza uprawnień Zamawiającego wynikających z Rękojmi za Wady.</w:t>
      </w:r>
    </w:p>
    <w:p w14:paraId="71328391"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Gwarant oświadcza i zapewnia Zamawiającego, że wykonany przez niego cały Przedmiot Umowy, o którym mowa w punkcie 1.1 niniejszej Części Ogólnej, został wykonany prawidłowo, zgodnie z zobowiązaniami Wykonawcy, o których mowa w Warunkach Kontraktu, a także zgodnie z najlepszą wiedzą Gwaranta.</w:t>
      </w:r>
    </w:p>
    <w:p w14:paraId="39EE39E7" w14:textId="2E114E30"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Poprzez niniejszą Gwarancję Gwarant przyjmuje na siebie odpowiedzialność za Przedmiot Umowy, w tym za Dokumenty Wykonawcy i odpowiedni zakres Przedmiotu Umowy zrealizowany przez </w:t>
      </w:r>
      <w:r w:rsidR="00855083" w:rsidRPr="00B13ACF">
        <w:rPr>
          <w:rFonts w:eastAsia="Verdana" w:cs="Verdana"/>
        </w:rPr>
        <w:t>P</w:t>
      </w:r>
      <w:r w:rsidRPr="00B13ACF">
        <w:rPr>
          <w:rFonts w:eastAsia="Verdana" w:cs="Verdana"/>
        </w:rPr>
        <w:t>odwykonawców. Gwarant jest odpowiedzialny wobec Zamawiającego za realizację wszystkich zobowiązań, o których mowa w punkcie 2. niniejszej Części Ogólnej.</w:t>
      </w:r>
    </w:p>
    <w:p w14:paraId="03301FE0" w14:textId="4BFF2376"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Okres Gwarancji Jakości jest określony w </w:t>
      </w:r>
      <w:r w:rsidR="00C254E1" w:rsidRPr="00B13ACF">
        <w:rPr>
          <w:rFonts w:eastAsia="Verdana" w:cs="Verdana"/>
        </w:rPr>
        <w:t>Umowie</w:t>
      </w:r>
      <w:r w:rsidRPr="00B13ACF">
        <w:rPr>
          <w:rFonts w:eastAsia="Verdana" w:cs="Verdana"/>
        </w:rPr>
        <w:t>.</w:t>
      </w:r>
    </w:p>
    <w:p w14:paraId="68437664" w14:textId="1600331F" w:rsidR="00363999" w:rsidRPr="00B13ACF" w:rsidRDefault="00363999" w:rsidP="00363999">
      <w:pPr>
        <w:spacing w:before="80" w:after="0"/>
        <w:ind w:left="567" w:right="75"/>
        <w:jc w:val="both"/>
        <w:rPr>
          <w:rFonts w:eastAsia="Verdana" w:cs="Verdana"/>
        </w:rPr>
      </w:pPr>
      <w:r w:rsidRPr="00B13ACF">
        <w:rPr>
          <w:rFonts w:eastAsia="Verdana" w:cs="Verdana"/>
        </w:rPr>
        <w:t>Okresy</w:t>
      </w:r>
      <w:r w:rsidR="00C254E1" w:rsidRPr="00B13ACF">
        <w:rPr>
          <w:rFonts w:eastAsia="Verdana" w:cs="Verdana"/>
        </w:rPr>
        <w:t xml:space="preserve"> Gwarancji Jakości</w:t>
      </w:r>
      <w:r w:rsidRPr="00B13ACF">
        <w:rPr>
          <w:rFonts w:eastAsia="Verdana" w:cs="Verdana"/>
        </w:rPr>
        <w:t>, liczone będą od daty wskazanej w </w:t>
      </w:r>
      <w:r w:rsidR="00E3714B" w:rsidRPr="00B13ACF">
        <w:rPr>
          <w:rFonts w:eastAsia="Verdana" w:cs="Verdana"/>
        </w:rPr>
        <w:t>Protokole Odbioru Końcowego</w:t>
      </w:r>
      <w:r w:rsidRPr="00B13ACF">
        <w:rPr>
          <w:rFonts w:eastAsia="Verdana" w:cs="Verdana"/>
        </w:rPr>
        <w:t xml:space="preserve">. W przypadku wystawienia </w:t>
      </w:r>
      <w:r w:rsidR="00E3714B" w:rsidRPr="00B13ACF">
        <w:rPr>
          <w:rFonts w:eastAsia="Verdana" w:cs="Verdana"/>
        </w:rPr>
        <w:t>Protokołu Odbioru</w:t>
      </w:r>
      <w:r w:rsidRPr="00B13ACF">
        <w:rPr>
          <w:rFonts w:eastAsia="Verdana" w:cs="Verdana"/>
        </w:rPr>
        <w:t xml:space="preserve"> z zastrzeżeniem, że istnieją roboty zaległe do wykonania w zakresie objętym Gwarancją Jakości, termin gwarancji jakości dla robót zaległych rozpoczyna swój bieg od daty wskazanej w protokole z przeglądu realizacji robót zaległych, potwierdzającym wykonanie roboty zaległej.</w:t>
      </w:r>
    </w:p>
    <w:p w14:paraId="21960A95" w14:textId="2893379A" w:rsidR="003E1D1D" w:rsidRPr="00B13ACF" w:rsidRDefault="003E1D1D" w:rsidP="00363999">
      <w:pPr>
        <w:spacing w:before="80" w:after="0"/>
        <w:ind w:left="567" w:right="75"/>
        <w:jc w:val="both"/>
        <w:rPr>
          <w:rFonts w:eastAsia="Verdana" w:cs="Verdana"/>
        </w:rPr>
      </w:pPr>
      <w:r w:rsidRPr="00B13ACF">
        <w:rPr>
          <w:rFonts w:eastAsia="Verdana" w:cs="Verdana"/>
        </w:rPr>
        <w:t xml:space="preserve">Przy określaniu odpowiedniego przedłużenia czasu obowiązywania Gwarancji Jakości stosuje się postanowienia art. 581 ustawy – Kodeks Cywilny, </w:t>
      </w:r>
    </w:p>
    <w:p w14:paraId="2646374D" w14:textId="7A3AC5B3" w:rsidR="00E843FE" w:rsidRPr="00B13ACF" w:rsidRDefault="00363999" w:rsidP="004F4FC9">
      <w:pPr>
        <w:pStyle w:val="Akapitzlist"/>
        <w:numPr>
          <w:ilvl w:val="1"/>
          <w:numId w:val="19"/>
        </w:numPr>
        <w:spacing w:after="0"/>
        <w:ind w:left="567" w:right="62" w:hanging="567"/>
        <w:jc w:val="both"/>
        <w:rPr>
          <w:rFonts w:eastAsia="Verdana" w:cs="Verdana"/>
        </w:rPr>
      </w:pPr>
      <w:r w:rsidRPr="00B13ACF">
        <w:rPr>
          <w:rFonts w:eastAsia="Verdana" w:cs="Verdana"/>
        </w:rPr>
        <w:t>Ilekroć w niniejszej Gwarancji Jakości jest mowa o W</w:t>
      </w:r>
      <w:r w:rsidR="00E843FE" w:rsidRPr="00B13ACF">
        <w:rPr>
          <w:rFonts w:eastAsia="Verdana" w:cs="Verdana"/>
        </w:rPr>
        <w:t>adzie, należy przez to rozumieć:</w:t>
      </w:r>
    </w:p>
    <w:p w14:paraId="7CC9D680" w14:textId="0AA9B3DB" w:rsidR="00E843FE" w:rsidRPr="00B13ACF" w:rsidRDefault="00E843FE" w:rsidP="004F4FC9">
      <w:pPr>
        <w:pStyle w:val="Akapitzlist"/>
        <w:spacing w:after="0"/>
        <w:ind w:left="567" w:right="62"/>
        <w:jc w:val="both"/>
        <w:rPr>
          <w:rFonts w:eastAsia="Verdana" w:cs="Verdana"/>
        </w:rPr>
      </w:pPr>
      <w:r w:rsidRPr="00B13ACF">
        <w:rPr>
          <w:rFonts w:eastAsia="Verdana" w:cs="Verdana"/>
        </w:rPr>
        <w:t>- jawne lub ukryte właściwości tkwiące w Robotach, Dokumentach Wykonawcy lub w jakimkolwiek ich elemencie (stanowiących „Przedmiot Umowy”) powodujące niemożność używania lub korzystania z Przedmiotu Umowy zgodnie z przeznaczeniem;</w:t>
      </w:r>
    </w:p>
    <w:p w14:paraId="6577564A" w14:textId="6E18EA85" w:rsidR="00E843FE" w:rsidRPr="00B13ACF" w:rsidRDefault="00E843FE" w:rsidP="004F4FC9">
      <w:pPr>
        <w:pStyle w:val="Akapitzlist"/>
        <w:spacing w:after="0"/>
        <w:ind w:left="567" w:right="62"/>
        <w:jc w:val="both"/>
        <w:rPr>
          <w:rFonts w:eastAsia="Verdana" w:cs="Verdana"/>
        </w:rPr>
      </w:pPr>
      <w:r w:rsidRPr="00B13ACF">
        <w:rPr>
          <w:rFonts w:eastAsia="Verdana" w:cs="Verdana"/>
        </w:rPr>
        <w:t xml:space="preserve">- niezgodność wykonania Przedmiotu Umowy z </w:t>
      </w:r>
      <w:r w:rsidR="004F4FC9" w:rsidRPr="00B13ACF">
        <w:rPr>
          <w:rFonts w:eastAsia="Verdana" w:cs="Verdana"/>
        </w:rPr>
        <w:t>dokumentacja projektową specyfikacjami technicznymi (</w:t>
      </w:r>
      <w:proofErr w:type="spellStart"/>
      <w:r w:rsidR="004F4FC9" w:rsidRPr="00B13ACF">
        <w:rPr>
          <w:rFonts w:eastAsia="Verdana" w:cs="Verdana"/>
        </w:rPr>
        <w:t>STWiORB</w:t>
      </w:r>
      <w:proofErr w:type="spellEnd"/>
      <w:r w:rsidR="004F4FC9" w:rsidRPr="00B13ACF">
        <w:rPr>
          <w:rFonts w:eastAsia="Verdana" w:cs="Verdana"/>
        </w:rPr>
        <w:t>) oraz Opisem Przedmiotu Zamówienia;</w:t>
      </w:r>
      <w:r w:rsidRPr="00B13ACF">
        <w:rPr>
          <w:rFonts w:eastAsia="Verdana" w:cs="Verdana"/>
        </w:rPr>
        <w:t xml:space="preserve"> </w:t>
      </w:r>
    </w:p>
    <w:p w14:paraId="2E36449A" w14:textId="56B01061" w:rsidR="00E843FE" w:rsidRPr="00B13ACF" w:rsidRDefault="00E843FE" w:rsidP="004F4FC9">
      <w:pPr>
        <w:pStyle w:val="Akapitzlist"/>
        <w:spacing w:after="0"/>
        <w:ind w:left="567" w:right="62"/>
        <w:jc w:val="both"/>
        <w:rPr>
          <w:rFonts w:eastAsia="Verdana" w:cs="Verdana"/>
        </w:rPr>
      </w:pPr>
      <w:r w:rsidRPr="00B13ACF">
        <w:rPr>
          <w:rFonts w:eastAsia="Verdana" w:cs="Verdana"/>
        </w:rPr>
        <w:t>- zmniejszenie wartości Przedmiotu Umowy;</w:t>
      </w:r>
    </w:p>
    <w:p w14:paraId="72F29B1D" w14:textId="414D0C1E" w:rsidR="00E843FE" w:rsidRPr="00B13ACF" w:rsidRDefault="00E843FE" w:rsidP="004F4FC9">
      <w:pPr>
        <w:pStyle w:val="Akapitzlist"/>
        <w:spacing w:after="0"/>
        <w:ind w:left="567" w:right="62"/>
        <w:jc w:val="both"/>
        <w:rPr>
          <w:rFonts w:eastAsia="Verdana" w:cs="Verdana"/>
        </w:rPr>
      </w:pPr>
      <w:r w:rsidRPr="00B13ACF">
        <w:rPr>
          <w:rFonts w:eastAsia="Verdana" w:cs="Verdana"/>
        </w:rPr>
        <w:t>- obniżenie stopnia użyteczności Przedmiotu Umowy;</w:t>
      </w:r>
    </w:p>
    <w:p w14:paraId="03432880" w14:textId="7C33DB1B" w:rsidR="00E843FE" w:rsidRPr="00B13ACF" w:rsidRDefault="00E843FE" w:rsidP="004F4FC9">
      <w:pPr>
        <w:pStyle w:val="Akapitzlist"/>
        <w:spacing w:after="0"/>
        <w:ind w:left="567" w:right="62"/>
        <w:jc w:val="both"/>
        <w:rPr>
          <w:rFonts w:eastAsia="Verdana" w:cs="Verdana"/>
        </w:rPr>
      </w:pPr>
      <w:r w:rsidRPr="00B13ACF">
        <w:rPr>
          <w:rFonts w:eastAsia="Verdana" w:cs="Verdana"/>
        </w:rPr>
        <w:t xml:space="preserve">- obniżenie </w:t>
      </w:r>
      <w:proofErr w:type="gramStart"/>
      <w:r w:rsidRPr="00B13ACF">
        <w:rPr>
          <w:rFonts w:eastAsia="Verdana" w:cs="Verdana"/>
        </w:rPr>
        <w:t>jakości  lub</w:t>
      </w:r>
      <w:proofErr w:type="gramEnd"/>
      <w:r w:rsidRPr="00B13ACF">
        <w:rPr>
          <w:rFonts w:eastAsia="Verdana" w:cs="Verdana"/>
        </w:rPr>
        <w:t xml:space="preserve"> inne uszkodzenia w Przedmiocie Umowy;</w:t>
      </w:r>
    </w:p>
    <w:p w14:paraId="42756A5A" w14:textId="28198E89" w:rsidR="00E843FE" w:rsidRPr="00B13ACF" w:rsidRDefault="00E843FE" w:rsidP="004F4FC9">
      <w:pPr>
        <w:pStyle w:val="Akapitzlist"/>
        <w:spacing w:after="0"/>
        <w:ind w:left="567" w:right="62"/>
        <w:jc w:val="both"/>
        <w:rPr>
          <w:rFonts w:eastAsia="Verdana" w:cs="Verdana"/>
        </w:rPr>
      </w:pPr>
      <w:r w:rsidRPr="00B13ACF">
        <w:rPr>
          <w:rFonts w:eastAsia="Verdana" w:cs="Verdana"/>
        </w:rPr>
        <w:t>- usterki w Przedmiocie Umowy.</w:t>
      </w:r>
    </w:p>
    <w:p w14:paraId="2D7DCCD9" w14:textId="77777777" w:rsidR="00E843FE" w:rsidRPr="00B13ACF" w:rsidRDefault="00E843FE" w:rsidP="004F4FC9">
      <w:pPr>
        <w:pStyle w:val="Akapitzlist"/>
        <w:spacing w:after="0"/>
        <w:ind w:left="567" w:right="62"/>
        <w:jc w:val="both"/>
        <w:rPr>
          <w:rFonts w:eastAsia="Verdana" w:cs="Verdana"/>
        </w:rPr>
      </w:pPr>
      <w:r w:rsidRPr="00B13ACF">
        <w:rPr>
          <w:rFonts w:eastAsia="Verdana" w:cs="Verdana"/>
        </w:rPr>
        <w:t>Za Wadę uznaje się również:</w:t>
      </w:r>
    </w:p>
    <w:p w14:paraId="4E287C9E" w14:textId="321EA08F" w:rsidR="00E843FE" w:rsidRPr="00B13ACF" w:rsidRDefault="00E843FE" w:rsidP="004F4FC9">
      <w:pPr>
        <w:pStyle w:val="Akapitzlist"/>
        <w:spacing w:after="0"/>
        <w:ind w:left="567" w:right="62"/>
        <w:jc w:val="both"/>
        <w:rPr>
          <w:rFonts w:eastAsia="Verdana" w:cs="Verdana"/>
        </w:rPr>
      </w:pPr>
      <w:r w:rsidRPr="00B13ACF">
        <w:rPr>
          <w:rFonts w:eastAsia="Verdana" w:cs="Verdana"/>
        </w:rPr>
        <w:t>- sytuację, w której część Przedmiotu Umowy nie stanowi własności Wykonawcy;</w:t>
      </w:r>
    </w:p>
    <w:p w14:paraId="3B5A0814" w14:textId="77777777" w:rsidR="00E843FE" w:rsidRPr="00B13ACF" w:rsidRDefault="00E843FE" w:rsidP="004F4FC9">
      <w:pPr>
        <w:pStyle w:val="Akapitzlist"/>
        <w:spacing w:after="0"/>
        <w:ind w:left="567" w:right="62"/>
        <w:contextualSpacing w:val="0"/>
        <w:jc w:val="both"/>
        <w:rPr>
          <w:rFonts w:eastAsia="Verdana" w:cs="Verdana"/>
        </w:rPr>
      </w:pPr>
      <w:r w:rsidRPr="00B13ACF">
        <w:rPr>
          <w:rFonts w:eastAsia="Verdana" w:cs="Verdana"/>
        </w:rPr>
        <w:t>- sytuację, w której część Przedmiotu Umowy jest obciążony prawem lub prawami osób trzecich.</w:t>
      </w:r>
    </w:p>
    <w:p w14:paraId="1E0B36CA" w14:textId="77777777" w:rsidR="00E843FE" w:rsidRPr="00B13ACF" w:rsidRDefault="00E843FE" w:rsidP="004F4FC9">
      <w:pPr>
        <w:pStyle w:val="Akapitzlist"/>
        <w:spacing w:after="0"/>
        <w:ind w:left="567" w:right="62"/>
        <w:jc w:val="both"/>
        <w:rPr>
          <w:rFonts w:eastAsia="Verdana" w:cs="Verdana"/>
        </w:rPr>
      </w:pPr>
      <w:r w:rsidRPr="00B13ACF">
        <w:rPr>
          <w:rFonts w:eastAsia="Verdana" w:cs="Verdana"/>
        </w:rPr>
        <w:t>„Wada Istotna” oznacza Wadę powodującą (bezpośrednio lub pośrednio) niezdatność Przedmiotu Umowy do określonego w Umowie użytku ze względu na brak cech umożliwiających jego bezpieczną eksploatację lub ograniczenie możliwości bezpiecznej eksploatacji całości lub jakiejkolwiek części Przedmiotu Umowy.</w:t>
      </w:r>
    </w:p>
    <w:p w14:paraId="4F94BB3A" w14:textId="20B5EA28" w:rsidR="009234EF" w:rsidRPr="00B13ACF" w:rsidRDefault="00E843FE" w:rsidP="00C07D21">
      <w:pPr>
        <w:pStyle w:val="Akapitzlist"/>
        <w:spacing w:after="0"/>
        <w:ind w:left="567" w:right="62"/>
        <w:jc w:val="both"/>
        <w:rPr>
          <w:rFonts w:eastAsia="Verdana" w:cs="Verdana"/>
        </w:rPr>
      </w:pPr>
      <w:r w:rsidRPr="00B13ACF">
        <w:rPr>
          <w:rFonts w:eastAsia="Verdana" w:cs="Verdana"/>
        </w:rPr>
        <w:t xml:space="preserve">Wada Nieistotna” oznacza Wadę inną niż Wada Istotna (każdą pozostałą Wadę). </w:t>
      </w:r>
      <w:r w:rsidR="009234EF" w:rsidRPr="00B13ACF">
        <w:rPr>
          <w:rFonts w:eastAsia="Verdana" w:cs="Verdana"/>
        </w:rPr>
        <w:t xml:space="preserve">Zamawiający może dochodzić roszczeń z tytułu Gwarancji Jakości także po terminie </w:t>
      </w:r>
      <w:r w:rsidR="009234EF" w:rsidRPr="00B13ACF">
        <w:rPr>
          <w:rFonts w:eastAsia="Verdana" w:cs="Verdana"/>
        </w:rPr>
        <w:lastRenderedPageBreak/>
        <w:t xml:space="preserve">określonym w punkcie </w:t>
      </w:r>
      <w:proofErr w:type="gramStart"/>
      <w:r w:rsidR="009234EF" w:rsidRPr="00B13ACF">
        <w:rPr>
          <w:rFonts w:eastAsia="Verdana" w:cs="Verdana"/>
        </w:rPr>
        <w:t>1.4 ,</w:t>
      </w:r>
      <w:proofErr w:type="gramEnd"/>
      <w:r w:rsidR="009234EF" w:rsidRPr="00B13ACF">
        <w:rPr>
          <w:rFonts w:eastAsia="Verdana" w:cs="Verdana"/>
        </w:rPr>
        <w:t xml:space="preserve"> jeżeli poinformował Gwaranta o wystąpieniu wady przed upływem tego terminu.</w:t>
      </w:r>
    </w:p>
    <w:p w14:paraId="796EC500" w14:textId="7F789262"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Ilekroć w postanowieniach jest mowa o „usunięciu Wady” należy przez to rozumieć również wymianę rzeczy wchodzącej w zakres Przedmiotu Umowy na nową, wolną od Wad.</w:t>
      </w:r>
    </w:p>
    <w:p w14:paraId="298884C4" w14:textId="77777777" w:rsidR="00363999" w:rsidRPr="00B13ACF" w:rsidRDefault="00363999" w:rsidP="00363999">
      <w:pPr>
        <w:pStyle w:val="Akapitzlist"/>
        <w:spacing w:before="80" w:after="0"/>
        <w:ind w:left="567" w:right="63"/>
        <w:contextualSpacing w:val="0"/>
        <w:jc w:val="both"/>
        <w:rPr>
          <w:rFonts w:eastAsia="Verdana" w:cs="Verdana"/>
        </w:rPr>
      </w:pPr>
    </w:p>
    <w:p w14:paraId="755A1F1A" w14:textId="77777777" w:rsidR="00363999" w:rsidRPr="00B13ACF" w:rsidRDefault="00363999" w:rsidP="00661C26">
      <w:pPr>
        <w:pStyle w:val="Nagwek2"/>
        <w:numPr>
          <w:ilvl w:val="0"/>
          <w:numId w:val="19"/>
        </w:numPr>
        <w:spacing w:before="80" w:after="0"/>
        <w:ind w:left="567" w:hanging="567"/>
        <w:rPr>
          <w:rFonts w:eastAsia="Verdana"/>
          <w:szCs w:val="20"/>
        </w:rPr>
      </w:pPr>
      <w:bookmarkStart w:id="9" w:name="_Toc455047567"/>
      <w:bookmarkStart w:id="10" w:name="_Toc533170535"/>
      <w:r w:rsidRPr="00B13ACF">
        <w:rPr>
          <w:rFonts w:eastAsia="Verdana"/>
          <w:szCs w:val="20"/>
        </w:rPr>
        <w:t>Obowiązki i uprawnienia Stron</w:t>
      </w:r>
      <w:bookmarkEnd w:id="9"/>
      <w:bookmarkEnd w:id="10"/>
      <w:r w:rsidRPr="00B13ACF">
        <w:rPr>
          <w:rFonts w:eastAsia="Verdana"/>
          <w:szCs w:val="20"/>
        </w:rPr>
        <w:t xml:space="preserve"> </w:t>
      </w:r>
    </w:p>
    <w:p w14:paraId="1D6828BA"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W przypadku ujawnienia jakiejkolwiek Wady w Przedmiocie Umowy Gwarant jest zobowiązany do: </w:t>
      </w:r>
    </w:p>
    <w:p w14:paraId="3FEF19D9" w14:textId="77777777" w:rsidR="00363999" w:rsidRPr="00B13ACF" w:rsidRDefault="00363999" w:rsidP="00661C26">
      <w:pPr>
        <w:numPr>
          <w:ilvl w:val="0"/>
          <w:numId w:val="20"/>
        </w:numPr>
        <w:spacing w:before="80" w:after="0"/>
        <w:ind w:left="993" w:right="63" w:hanging="426"/>
        <w:jc w:val="both"/>
        <w:rPr>
          <w:rFonts w:eastAsia="Verdana" w:cs="Verdana"/>
        </w:rPr>
      </w:pPr>
      <w:r w:rsidRPr="00B13ACF">
        <w:rPr>
          <w:rFonts w:eastAsia="Verdana" w:cs="Verdana"/>
        </w:rPr>
        <w:t xml:space="preserve">terminowego spełnienia żądania Zamawiającego dotyczącego nieodpłatnego usunięcia Wady oraz trybu jej usunięcia, </w:t>
      </w:r>
    </w:p>
    <w:p w14:paraId="52BF6F1A" w14:textId="77777777" w:rsidR="00363999" w:rsidRPr="00B13ACF" w:rsidRDefault="00363999" w:rsidP="00661C26">
      <w:pPr>
        <w:numPr>
          <w:ilvl w:val="0"/>
          <w:numId w:val="20"/>
        </w:numPr>
        <w:spacing w:before="80" w:after="0"/>
        <w:ind w:left="993" w:right="63" w:hanging="426"/>
        <w:jc w:val="both"/>
        <w:rPr>
          <w:rFonts w:eastAsia="Verdana" w:cs="Verdana"/>
        </w:rPr>
      </w:pPr>
      <w:r w:rsidRPr="00B13ACF">
        <w:rPr>
          <w:rFonts w:eastAsia="Verdana" w:cs="Verdana"/>
        </w:rPr>
        <w:t>terminowego spełnienia żądania Zamawiającego dotyczącego nieodpłatnej wymiany rzeczy na wolną od Wad oraz trybu jej wymiany.</w:t>
      </w:r>
    </w:p>
    <w:p w14:paraId="1516070C"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W przypadku ujawnienia jakiejkolwiek Wady w Przedmiocie Umowy, Zamawiający jest uprawniony do: </w:t>
      </w:r>
    </w:p>
    <w:p w14:paraId="09191F98" w14:textId="35AE4383" w:rsidR="00363999" w:rsidRPr="00B13ACF" w:rsidRDefault="009234EF" w:rsidP="00661C26">
      <w:pPr>
        <w:numPr>
          <w:ilvl w:val="0"/>
          <w:numId w:val="21"/>
        </w:numPr>
        <w:spacing w:before="80" w:after="0"/>
        <w:ind w:left="993" w:right="63" w:hanging="426"/>
        <w:jc w:val="both"/>
        <w:rPr>
          <w:rFonts w:eastAsia="Verdana" w:cs="Verdana"/>
        </w:rPr>
      </w:pPr>
      <w:r w:rsidRPr="00B13ACF">
        <w:rPr>
          <w:rFonts w:eastAsia="Verdana" w:cs="Verdana"/>
        </w:rPr>
        <w:t>żądania nieodpłatnego usunięcia Wady, a w przypadku, gdy dana rzecz wchodząca w zakres Przedmiotu Umowy była już dwukrotnie naprawiana lub wymieniana – do żądania wymiany tej rzeczy lub jej części na nową, wolną od Wad;</w:t>
      </w:r>
    </w:p>
    <w:p w14:paraId="23DDC198" w14:textId="77777777" w:rsidR="00363999" w:rsidRPr="00B13ACF" w:rsidRDefault="00363999" w:rsidP="00661C26">
      <w:pPr>
        <w:numPr>
          <w:ilvl w:val="0"/>
          <w:numId w:val="21"/>
        </w:numPr>
        <w:spacing w:before="80" w:after="0"/>
        <w:ind w:left="993" w:right="63" w:hanging="426"/>
        <w:jc w:val="both"/>
        <w:rPr>
          <w:rFonts w:eastAsia="Verdana" w:cs="Verdana"/>
        </w:rPr>
      </w:pPr>
      <w:r w:rsidRPr="00B13ACF">
        <w:rPr>
          <w:rFonts w:eastAsia="Verdana" w:cs="Verdana"/>
        </w:rPr>
        <w:t>wskazania trybu usunięcia Wady lub wymiany rzeczy na wolną od Wad.</w:t>
      </w:r>
    </w:p>
    <w:p w14:paraId="0D58A09D" w14:textId="77777777" w:rsidR="00363999" w:rsidRPr="00B13ACF" w:rsidRDefault="00363999" w:rsidP="00AF0120">
      <w:pPr>
        <w:spacing w:before="80" w:after="0"/>
        <w:ind w:left="567" w:right="63"/>
        <w:jc w:val="both"/>
        <w:rPr>
          <w:rFonts w:eastAsia="Verdana" w:cs="Verdana"/>
        </w:rPr>
      </w:pPr>
    </w:p>
    <w:p w14:paraId="1C1669F3" w14:textId="77777777" w:rsidR="00AF0120" w:rsidRPr="00B13ACF" w:rsidRDefault="00363999" w:rsidP="00661C26">
      <w:pPr>
        <w:pStyle w:val="Nagwek2"/>
        <w:numPr>
          <w:ilvl w:val="0"/>
          <w:numId w:val="19"/>
        </w:numPr>
        <w:spacing w:before="80" w:after="0"/>
        <w:ind w:left="567" w:hanging="567"/>
        <w:jc w:val="both"/>
        <w:rPr>
          <w:rFonts w:eastAsia="Verdana"/>
          <w:szCs w:val="20"/>
        </w:rPr>
      </w:pPr>
      <w:bookmarkStart w:id="11" w:name="_Toc455047568"/>
      <w:bookmarkStart w:id="12" w:name="_Toc533170536"/>
      <w:r w:rsidRPr="00B13ACF">
        <w:rPr>
          <w:rFonts w:eastAsia="Verdana"/>
          <w:szCs w:val="20"/>
        </w:rPr>
        <w:t>Upoważnienie Zamawiającego (pełnomocnictwo)</w:t>
      </w:r>
      <w:bookmarkEnd w:id="11"/>
      <w:bookmarkEnd w:id="12"/>
    </w:p>
    <w:p w14:paraId="22EB4A9F" w14:textId="7960BA73" w:rsidR="00AF0120" w:rsidRPr="00B13ACF" w:rsidRDefault="00AF0120" w:rsidP="00AF0120">
      <w:pPr>
        <w:pStyle w:val="Akapitzlist"/>
        <w:spacing w:before="80" w:after="0"/>
        <w:ind w:left="567"/>
        <w:contextualSpacing w:val="0"/>
        <w:jc w:val="both"/>
        <w:rPr>
          <w:rFonts w:eastAsia="Verdana" w:cs="Verdana"/>
        </w:rPr>
      </w:pPr>
      <w:r w:rsidRPr="00B13ACF">
        <w:rPr>
          <w:rFonts w:eastAsia="Verdana" w:cs="Verdana"/>
        </w:rPr>
        <w:t xml:space="preserve">Niezależnie od udzielonej gwarancji, Gwarant niniejszym upoważnia Zamawiającego do wykonywania uprawnień z gwarancji przysługujących Gwarantowi wobec podmiotów, wobec których Gwarantowi przysługują takie uprawnienia, tj. w szczególności wobec producentów urządzeń, </w:t>
      </w:r>
      <w:r w:rsidR="00855083" w:rsidRPr="00B13ACF">
        <w:rPr>
          <w:rFonts w:eastAsia="Verdana" w:cs="Verdana"/>
        </w:rPr>
        <w:t>P</w:t>
      </w:r>
      <w:r w:rsidRPr="00B13ACF">
        <w:rPr>
          <w:rFonts w:eastAsia="Verdana" w:cs="Verdana"/>
        </w:rPr>
        <w:t>odwykonawców.</w:t>
      </w:r>
    </w:p>
    <w:p w14:paraId="379A8A35" w14:textId="77777777" w:rsidR="00363999" w:rsidRPr="00B13ACF" w:rsidRDefault="00363999" w:rsidP="00363999">
      <w:pPr>
        <w:spacing w:before="80" w:after="0"/>
        <w:ind w:left="567" w:right="63"/>
        <w:jc w:val="both"/>
        <w:rPr>
          <w:rFonts w:eastAsia="Verdana" w:cs="Verdana"/>
        </w:rPr>
      </w:pPr>
    </w:p>
    <w:p w14:paraId="3EB4E1EE" w14:textId="77777777" w:rsidR="00363999" w:rsidRPr="00B13ACF" w:rsidRDefault="00363999" w:rsidP="00661C26">
      <w:pPr>
        <w:pStyle w:val="Nagwek2"/>
        <w:numPr>
          <w:ilvl w:val="0"/>
          <w:numId w:val="19"/>
        </w:numPr>
        <w:spacing w:before="80" w:after="0"/>
        <w:ind w:left="567" w:hanging="567"/>
        <w:jc w:val="both"/>
        <w:rPr>
          <w:rFonts w:eastAsia="Verdana"/>
          <w:szCs w:val="20"/>
        </w:rPr>
      </w:pPr>
      <w:bookmarkStart w:id="13" w:name="_Toc455047569"/>
      <w:bookmarkStart w:id="14" w:name="_Toc533170537"/>
      <w:r w:rsidRPr="00B13ACF">
        <w:rPr>
          <w:rFonts w:eastAsia="Verdana"/>
          <w:szCs w:val="20"/>
        </w:rPr>
        <w:t>Komisyjne Przeglądy Gwarancyjne</w:t>
      </w:r>
      <w:bookmarkEnd w:id="13"/>
      <w:bookmarkEnd w:id="14"/>
      <w:r w:rsidRPr="00B13ACF">
        <w:rPr>
          <w:rFonts w:eastAsia="Verdana"/>
          <w:szCs w:val="20"/>
        </w:rPr>
        <w:t xml:space="preserve"> </w:t>
      </w:r>
    </w:p>
    <w:p w14:paraId="3C4C36A9" w14:textId="77777777" w:rsidR="00363999" w:rsidRPr="00B13ACF" w:rsidRDefault="00363999" w:rsidP="00661C26">
      <w:pPr>
        <w:pStyle w:val="Akapitzlist"/>
        <w:numPr>
          <w:ilvl w:val="1"/>
          <w:numId w:val="19"/>
        </w:numPr>
        <w:spacing w:before="80" w:after="0"/>
        <w:ind w:left="567" w:hanging="567"/>
        <w:contextualSpacing w:val="0"/>
        <w:jc w:val="both"/>
        <w:rPr>
          <w:rFonts w:eastAsia="Verdana" w:cs="Verdana"/>
        </w:rPr>
      </w:pPr>
      <w:r w:rsidRPr="00B13ACF">
        <w:rPr>
          <w:rFonts w:eastAsia="Verdana" w:cs="Verdana"/>
        </w:rPr>
        <w:t>Komisyjne Przeglądy Gwarancyjne odbywać się będą według uznania Zamawiającego, nie rzadziej niż raz w roku i zawsze, kiedy Zamawiający uzna to za uzasadnione w okresie obowiązywania Gwarancji.</w:t>
      </w:r>
    </w:p>
    <w:p w14:paraId="52D9CB02" w14:textId="77777777" w:rsidR="00363999" w:rsidRPr="00B13ACF" w:rsidRDefault="00363999" w:rsidP="00661C26">
      <w:pPr>
        <w:pStyle w:val="Akapitzlist"/>
        <w:numPr>
          <w:ilvl w:val="1"/>
          <w:numId w:val="19"/>
        </w:numPr>
        <w:spacing w:before="80" w:after="0"/>
        <w:ind w:left="567" w:hanging="567"/>
        <w:contextualSpacing w:val="0"/>
        <w:jc w:val="both"/>
        <w:rPr>
          <w:rFonts w:eastAsia="Verdana" w:cs="Verdana"/>
        </w:rPr>
      </w:pPr>
      <w:r w:rsidRPr="00B13ACF">
        <w:rPr>
          <w:rFonts w:eastAsia="Verdana" w:cs="Verdana"/>
        </w:rPr>
        <w:t>W przypadku Komisyjnych Przeglądów Gwarancyjnych, dla każdej grupy robót (w szczególności mostowa, drogowa, ochrona środowiska, instalacje), Zamawiający może przeprowadzić odrębne Komisyjne Przeglądy Gwarancyjne niekoniecznie w tym samym czasie.</w:t>
      </w:r>
    </w:p>
    <w:p w14:paraId="084DEEDC" w14:textId="1549FA5C" w:rsidR="00363999" w:rsidRPr="00B13ACF" w:rsidRDefault="00363999" w:rsidP="00661C26">
      <w:pPr>
        <w:pStyle w:val="Akapitzlist"/>
        <w:numPr>
          <w:ilvl w:val="1"/>
          <w:numId w:val="19"/>
        </w:numPr>
        <w:spacing w:before="80" w:after="0"/>
        <w:ind w:left="567" w:hanging="567"/>
        <w:contextualSpacing w:val="0"/>
        <w:jc w:val="both"/>
      </w:pPr>
      <w:r w:rsidRPr="00B13ACF">
        <w:t xml:space="preserve">Datę, godzinę i miejsce dokonania Komisyjnego Przeglądu Gwarancyjnego dla każdej </w:t>
      </w:r>
      <w:r w:rsidR="009234EF" w:rsidRPr="00B13ACF">
        <w:t>K</w:t>
      </w:r>
      <w:r w:rsidRPr="00B13ACF">
        <w:t xml:space="preserve">omisji </w:t>
      </w:r>
      <w:r w:rsidR="009234EF" w:rsidRPr="00B13ACF">
        <w:t>P</w:t>
      </w:r>
      <w:r w:rsidRPr="00B13ACF">
        <w:t>rzegląd</w:t>
      </w:r>
      <w:r w:rsidR="009234EF" w:rsidRPr="00B13ACF">
        <w:t>u Gwarancyjnego</w:t>
      </w:r>
      <w:r w:rsidRPr="00B13ACF">
        <w:t xml:space="preserve"> wyznacza Zamawiający, zawiadamiając o nim Gwaranta na piśmie, z co najmniej </w:t>
      </w:r>
      <w:r w:rsidR="009234EF" w:rsidRPr="00B13ACF">
        <w:t>14</w:t>
      </w:r>
      <w:r w:rsidRPr="00B13ACF">
        <w:t>-dniowym wyprzedzeniem. Gwarant jest obowiązany uczestniczyć w Komisyjnych Przeglądach Gwarancyjnych.</w:t>
      </w:r>
    </w:p>
    <w:p w14:paraId="1B0A5DB7" w14:textId="7DE4B55A" w:rsidR="009234EF" w:rsidRPr="00B13ACF" w:rsidRDefault="009234EF" w:rsidP="008A5D94">
      <w:pPr>
        <w:pStyle w:val="Akapitzlist"/>
        <w:numPr>
          <w:ilvl w:val="1"/>
          <w:numId w:val="19"/>
        </w:numPr>
        <w:spacing w:before="80" w:after="0"/>
        <w:ind w:left="567" w:hanging="567"/>
        <w:contextualSpacing w:val="0"/>
        <w:jc w:val="both"/>
      </w:pPr>
      <w:r w:rsidRPr="00B13ACF">
        <w:t xml:space="preserve">W skład każdej Komisji Przeglądu Gwarancyjnego będą wchodziły co najmniej dwie osoby wyznaczone przez Zamawiającego oraz co najmniej </w:t>
      </w:r>
      <w:r w:rsidR="00E318E9" w:rsidRPr="00B13ACF">
        <w:t>jedna osoba</w:t>
      </w:r>
      <w:r w:rsidRPr="00B13ACF">
        <w:t xml:space="preserve"> wyznaczon</w:t>
      </w:r>
      <w:r w:rsidR="00E318E9" w:rsidRPr="00B13ACF">
        <w:t>a</w:t>
      </w:r>
      <w:r w:rsidRPr="00B13ACF">
        <w:t xml:space="preserve"> przez Gwaranta, posiadające stosowne pełnomocnictwa do działania w jego imieniu.</w:t>
      </w:r>
    </w:p>
    <w:p w14:paraId="445897AA" w14:textId="06368760" w:rsidR="009234EF" w:rsidRPr="00B13ACF" w:rsidRDefault="009234EF"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Na Gwarancie spoczywa obowiązek zabezpieczenia dokonania Komisyjnego Przeglądu Gwarancyjnego w okresie gwarancyjnym, tj. opracowanie i uzgodnienie </w:t>
      </w:r>
      <w:r w:rsidRPr="00B13ACF">
        <w:rPr>
          <w:rFonts w:eastAsia="Verdana" w:cs="Verdana"/>
        </w:rPr>
        <w:lastRenderedPageBreak/>
        <w:t xml:space="preserve">Projektu czasowej organizacji ruchu oraz montaż i demontaż oznakowania tymczasowego materiałem Gwaranta wraz z obsługą na czas przeglądu przez osoby do tego upoważnione, zapewnienia dostępu do przeglądania elementów konstrukcji i wyposażenia, w tym nieodpłatne zapewnienie urządzeń potrzebnych do dokonania przeglądu, takich jak w szczególności </w:t>
      </w:r>
      <w:r w:rsidR="005C5559" w:rsidRPr="00B13ACF">
        <w:rPr>
          <w:rFonts w:eastAsia="Verdana" w:cs="Verdana"/>
        </w:rPr>
        <w:t>podnośnik koszowy (</w:t>
      </w:r>
      <w:r w:rsidRPr="00B13ACF">
        <w:rPr>
          <w:rFonts w:eastAsia="Verdana" w:cs="Verdana"/>
        </w:rPr>
        <w:t>zwyżka</w:t>
      </w:r>
      <w:r w:rsidR="005C5559" w:rsidRPr="00B13ACF">
        <w:rPr>
          <w:rFonts w:eastAsia="Verdana" w:cs="Verdana"/>
        </w:rPr>
        <w:t>)</w:t>
      </w:r>
      <w:r w:rsidRPr="00B13ACF">
        <w:rPr>
          <w:rFonts w:eastAsia="Verdana" w:cs="Verdana"/>
        </w:rPr>
        <w:t xml:space="preserve"> lub łódź wraz z uprawnionymi osobami do obsługi tych urządzeń. </w:t>
      </w:r>
    </w:p>
    <w:p w14:paraId="7685D892" w14:textId="489E6141"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Z każdego Komisyjnego Przeglądu Gwarancyjnego sporządzany będzie szczegółowy Protokół Komisyjnego Przeglądu Gwarancyjnego, w co najmniej dwóch egzemplarzach, po jednym dla Zamawiającego i dla Gwaranta. W przypadku nieobecności </w:t>
      </w:r>
      <w:r w:rsidR="005C5559" w:rsidRPr="00B13ACF">
        <w:rPr>
          <w:rFonts w:eastAsia="Verdana" w:cs="Verdana"/>
        </w:rPr>
        <w:t xml:space="preserve">pełnomocników </w:t>
      </w:r>
      <w:r w:rsidRPr="00B13ACF">
        <w:rPr>
          <w:rFonts w:eastAsia="Verdana" w:cs="Verdana"/>
        </w:rPr>
        <w:t>Gwaranta w komisji, Zamawiający niezwłocznie prześle Gwarantowi jeden egzemplarz Protokołu Komisyjnego Przeglądu Gwarancyjnego.</w:t>
      </w:r>
    </w:p>
    <w:p w14:paraId="1C8158FE" w14:textId="11EDE6BB" w:rsidR="009234EF" w:rsidRPr="00B13ACF" w:rsidRDefault="009234EF" w:rsidP="008A697D">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W przypadku odmowy przez </w:t>
      </w:r>
      <w:r w:rsidR="005C5559" w:rsidRPr="00B13ACF">
        <w:rPr>
          <w:rFonts w:eastAsia="Verdana" w:cs="Verdana"/>
        </w:rPr>
        <w:t xml:space="preserve">pełnomocników </w:t>
      </w:r>
      <w:r w:rsidRPr="00B13ACF">
        <w:rPr>
          <w:rFonts w:eastAsia="Verdana" w:cs="Verdana"/>
        </w:rPr>
        <w:t xml:space="preserve">Gwaranta podpisania Protokołu Komisyjnego Przeglądu Gwarancyjnego, Zamawiający będzie uprawniony do jednostronnego podpisania Protokołu Komisyjnego Przeglądu Gwarancyjnego, przy czym brak podpisania Protokołu przez Gwaranta nie będzie wywoływał żadnych ujemnych skutków dla ważności i skuteczności ustaleń dokonanych przez komisję przeglądową. Fakt odmowy złożenia podpisu przez </w:t>
      </w:r>
      <w:r w:rsidR="005C5559" w:rsidRPr="00B13ACF">
        <w:rPr>
          <w:rFonts w:eastAsia="Verdana" w:cs="Verdana"/>
        </w:rPr>
        <w:t xml:space="preserve">pełnomocników </w:t>
      </w:r>
      <w:r w:rsidRPr="00B13ACF">
        <w:rPr>
          <w:rFonts w:eastAsia="Verdana" w:cs="Verdana"/>
        </w:rPr>
        <w:t>Gwaranta zostanie odnotowany w Protokole Komisyjnego Przeglądu Gwarancyjnego</w:t>
      </w:r>
    </w:p>
    <w:p w14:paraId="345EF964" w14:textId="58FB7133" w:rsidR="005C5559" w:rsidRPr="00B13ACF" w:rsidRDefault="005C555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Jeżeli Gwarant został prawidłowo zawiadomiony o terminie i miejscu dokonania Komisyjnego Przeglądu Gwarancyjnego, tj. zgodnie z punktem 4.3 niniejszej Części Ogólnej, niestawienie się jego pełnomo</w:t>
      </w:r>
      <w:r w:rsidR="00E318E9" w:rsidRPr="00B13ACF">
        <w:rPr>
          <w:rFonts w:eastAsia="Verdana" w:cs="Verdana"/>
        </w:rPr>
        <w:t>c</w:t>
      </w:r>
      <w:r w:rsidRPr="00B13ACF">
        <w:rPr>
          <w:rFonts w:eastAsia="Verdana" w:cs="Verdana"/>
        </w:rPr>
        <w:t>ników nie będzie wywoływało żadnych ujemnych skutków dla ważności i skuteczności ustaleń dokonanych przez komisję przeglądową. W takim przypadku Zamawiający jest uprawniony do jednostronnego podpisania Protokołu Komisyjnego Przeglądu Gwarancyjnego, który zostanie niezwłocznie przesłany przez Zamawiającego do Gwaranta zgodnie z zasadami określonymi w punkcie 6.</w:t>
      </w:r>
    </w:p>
    <w:p w14:paraId="3459366E" w14:textId="6F34C6E6"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 przypadku niestawiennictwa p</w:t>
      </w:r>
      <w:r w:rsidR="005C5559" w:rsidRPr="00B13ACF">
        <w:rPr>
          <w:rFonts w:eastAsia="Verdana" w:cs="Verdana"/>
        </w:rPr>
        <w:t>ełnomocników</w:t>
      </w:r>
      <w:r w:rsidRPr="00B13ACF">
        <w:rPr>
          <w:rFonts w:eastAsia="Verdana" w:cs="Verdana"/>
        </w:rPr>
        <w:t xml:space="preserve"> Gwaranta w komisji w miejscu dokonania Komisyjnego Przeglądu Gwarancyjnego bądź niewypełnienie przez Gwaranta innych zobowiązań określonych w niniejszej gwarancji, jeżeli na skutek tego nie będzie możliwe wykonanie przeglądu, Zamawiający będzie uprawniony do zlecenia wykonania przeglądu podmiotowi trzeciemu, a Gwarant zostanie obciążony kosztami przeprowadzenia przeglądu.</w:t>
      </w:r>
    </w:p>
    <w:p w14:paraId="5D89EDA8" w14:textId="77777777" w:rsidR="00363999" w:rsidRPr="00B13ACF" w:rsidRDefault="00363999" w:rsidP="00363999">
      <w:pPr>
        <w:pStyle w:val="Akapitzlist"/>
        <w:spacing w:before="80" w:after="0"/>
        <w:ind w:left="567" w:right="63"/>
        <w:contextualSpacing w:val="0"/>
        <w:jc w:val="both"/>
        <w:rPr>
          <w:rFonts w:eastAsia="Verdana" w:cs="Verdana"/>
        </w:rPr>
      </w:pPr>
    </w:p>
    <w:p w14:paraId="0F6F1BC1" w14:textId="77777777" w:rsidR="00363999" w:rsidRPr="00B13ACF" w:rsidRDefault="00363999" w:rsidP="00661C26">
      <w:pPr>
        <w:pStyle w:val="Nagwek2"/>
        <w:numPr>
          <w:ilvl w:val="0"/>
          <w:numId w:val="19"/>
        </w:numPr>
        <w:spacing w:before="80" w:after="0"/>
        <w:ind w:left="567" w:hanging="567"/>
        <w:rPr>
          <w:rFonts w:eastAsia="Verdana"/>
          <w:szCs w:val="20"/>
        </w:rPr>
      </w:pPr>
      <w:bookmarkStart w:id="15" w:name="_Toc455047570"/>
      <w:bookmarkStart w:id="16" w:name="_Toc533170538"/>
      <w:r w:rsidRPr="00B13ACF">
        <w:rPr>
          <w:rFonts w:eastAsia="Verdana"/>
          <w:szCs w:val="20"/>
        </w:rPr>
        <w:t>Tryb usuwania Wad</w:t>
      </w:r>
      <w:bookmarkEnd w:id="15"/>
      <w:bookmarkEnd w:id="16"/>
    </w:p>
    <w:p w14:paraId="348866CC" w14:textId="77777777" w:rsidR="00363999" w:rsidRPr="00B13ACF" w:rsidRDefault="00363999" w:rsidP="00661C26">
      <w:pPr>
        <w:pStyle w:val="Akapitzlist"/>
        <w:numPr>
          <w:ilvl w:val="1"/>
          <w:numId w:val="25"/>
        </w:numPr>
        <w:spacing w:before="80" w:after="0"/>
        <w:ind w:left="567" w:right="63" w:hanging="567"/>
        <w:contextualSpacing w:val="0"/>
        <w:jc w:val="both"/>
        <w:rPr>
          <w:rFonts w:eastAsia="Verdana" w:cs="Verdana"/>
        </w:rPr>
      </w:pPr>
      <w:r w:rsidRPr="00B13ACF">
        <w:rPr>
          <w:rFonts w:eastAsia="Verdana" w:cs="Verdana"/>
        </w:rPr>
        <w:t>Gwarant obowiązany jest rozpocząć usuwanie ujawnionej Wady według przedstawionych w tabeli 1 wymagań technicznych oraz czasowych:</w:t>
      </w:r>
    </w:p>
    <w:p w14:paraId="6FDC75F9" w14:textId="77777777" w:rsidR="00363999" w:rsidRPr="00B13ACF" w:rsidRDefault="00363999" w:rsidP="00363999">
      <w:pPr>
        <w:tabs>
          <w:tab w:val="left" w:pos="1134"/>
        </w:tabs>
        <w:spacing w:before="80" w:after="0"/>
        <w:ind w:left="-5" w:right="63" w:hanging="10"/>
        <w:jc w:val="both"/>
        <w:rPr>
          <w:rFonts w:eastAsia="Verdana" w:cs="Verdana"/>
        </w:rPr>
      </w:pPr>
      <w:r w:rsidRPr="00B13ACF">
        <w:rPr>
          <w:rFonts w:eastAsia="Verdana" w:cs="Verdana"/>
        </w:rPr>
        <w:t>Tabela 1.</w:t>
      </w:r>
      <w:r w:rsidRPr="00B13ACF">
        <w:rPr>
          <w:rFonts w:eastAsia="Verdana" w:cs="Verdana"/>
        </w:rPr>
        <w:tab/>
        <w:t>Wymagania techniczne oraz czasowe dla usuwania Wad.</w:t>
      </w:r>
    </w:p>
    <w:tbl>
      <w:tblPr>
        <w:tblStyle w:val="Siatkatabelijasna1"/>
        <w:tblW w:w="93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3119"/>
        <w:gridCol w:w="3382"/>
      </w:tblGrid>
      <w:tr w:rsidR="00B13ACF" w:rsidRPr="00B13ACF" w14:paraId="3741564A" w14:textId="77777777" w:rsidTr="00BD40BF">
        <w:trPr>
          <w:cantSplit/>
          <w:trHeight w:val="239"/>
        </w:trPr>
        <w:tc>
          <w:tcPr>
            <w:tcW w:w="2835" w:type="dxa"/>
            <w:vAlign w:val="center"/>
          </w:tcPr>
          <w:p w14:paraId="77A6D7CD"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Klasyfikacja Wad</w:t>
            </w:r>
          </w:p>
        </w:tc>
        <w:tc>
          <w:tcPr>
            <w:tcW w:w="3119" w:type="dxa"/>
            <w:vAlign w:val="center"/>
          </w:tcPr>
          <w:p w14:paraId="56B1C789"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Reakcja Gwaranta</w:t>
            </w:r>
          </w:p>
        </w:tc>
        <w:tc>
          <w:tcPr>
            <w:tcW w:w="3382" w:type="dxa"/>
            <w:vAlign w:val="center"/>
          </w:tcPr>
          <w:p w14:paraId="7D40BA8B"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 xml:space="preserve">Wymagany czas reakcji </w:t>
            </w:r>
          </w:p>
        </w:tc>
      </w:tr>
      <w:tr w:rsidR="00B13ACF" w:rsidRPr="00B13ACF" w14:paraId="5D824035" w14:textId="77777777" w:rsidTr="00BD40BF">
        <w:trPr>
          <w:cantSplit/>
          <w:trHeight w:val="378"/>
        </w:trPr>
        <w:tc>
          <w:tcPr>
            <w:tcW w:w="2835" w:type="dxa"/>
            <w:vMerge w:val="restart"/>
            <w:vAlign w:val="center"/>
          </w:tcPr>
          <w:p w14:paraId="60982F05"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Wady Istotne</w:t>
            </w:r>
          </w:p>
          <w:p w14:paraId="4950C05C" w14:textId="3CAC325C" w:rsidR="00363999" w:rsidRPr="00B13ACF" w:rsidRDefault="00363999" w:rsidP="00C07D21">
            <w:pPr>
              <w:spacing w:before="80" w:after="0"/>
              <w:ind w:left="11" w:right="68" w:hanging="11"/>
              <w:jc w:val="center"/>
              <w:rPr>
                <w:rFonts w:eastAsia="Verdana" w:cs="Verdana"/>
                <w:sz w:val="18"/>
              </w:rPr>
            </w:pPr>
            <w:r w:rsidRPr="00B13ACF">
              <w:rPr>
                <w:rFonts w:eastAsia="Verdana" w:cs="Verdana"/>
                <w:sz w:val="18"/>
              </w:rPr>
              <w:t>zgodnie z definicją zawartą w</w:t>
            </w:r>
            <w:r w:rsidR="00E843FE" w:rsidRPr="00B13ACF">
              <w:rPr>
                <w:rFonts w:eastAsia="Verdana" w:cs="Verdana"/>
                <w:sz w:val="18"/>
              </w:rPr>
              <w:t xml:space="preserve"> </w:t>
            </w:r>
            <w:r w:rsidR="00B13ACF" w:rsidRPr="00B13ACF">
              <w:rPr>
                <w:rFonts w:eastAsia="Verdana" w:cs="Verdana"/>
                <w:sz w:val="18"/>
              </w:rPr>
              <w:t>pkt. 1.5</w:t>
            </w:r>
            <w:r w:rsidRPr="00B13ACF">
              <w:rPr>
                <w:rFonts w:eastAsia="Verdana" w:cs="Verdana"/>
                <w:sz w:val="18"/>
              </w:rPr>
              <w:t xml:space="preserve"> </w:t>
            </w:r>
          </w:p>
        </w:tc>
        <w:tc>
          <w:tcPr>
            <w:tcW w:w="3119" w:type="dxa"/>
            <w:vAlign w:val="center"/>
          </w:tcPr>
          <w:p w14:paraId="39F078B1"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1) Potwierdzenie przyjęcia powiadomienia o wystąpieniu Wady i określenie sposobu usunięcia Wady</w:t>
            </w:r>
          </w:p>
        </w:tc>
        <w:tc>
          <w:tcPr>
            <w:tcW w:w="3382" w:type="dxa"/>
            <w:vAlign w:val="center"/>
          </w:tcPr>
          <w:p w14:paraId="5952EE06"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Do 24 h od chwili powiadomienia o wystąpieniu Wady</w:t>
            </w:r>
          </w:p>
        </w:tc>
      </w:tr>
      <w:tr w:rsidR="00B13ACF" w:rsidRPr="00B13ACF" w14:paraId="1BF0D5F7" w14:textId="77777777" w:rsidTr="00BD40BF">
        <w:trPr>
          <w:cantSplit/>
          <w:trHeight w:val="385"/>
        </w:trPr>
        <w:tc>
          <w:tcPr>
            <w:tcW w:w="2835" w:type="dxa"/>
            <w:vMerge/>
            <w:vAlign w:val="center"/>
          </w:tcPr>
          <w:p w14:paraId="68E61DE6" w14:textId="77777777" w:rsidR="00363999" w:rsidRPr="00B13ACF" w:rsidRDefault="00363999" w:rsidP="00BD40BF">
            <w:pPr>
              <w:spacing w:before="80" w:after="0"/>
              <w:ind w:left="11" w:right="68" w:hanging="11"/>
              <w:jc w:val="center"/>
              <w:rPr>
                <w:rFonts w:eastAsia="Verdana" w:cs="Verdana"/>
                <w:sz w:val="18"/>
              </w:rPr>
            </w:pPr>
          </w:p>
        </w:tc>
        <w:tc>
          <w:tcPr>
            <w:tcW w:w="3119" w:type="dxa"/>
            <w:vAlign w:val="center"/>
          </w:tcPr>
          <w:p w14:paraId="5F15E8EE"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2) Zapewnienie nieprzerwanej dostępności do drogi i jej przejezdności</w:t>
            </w:r>
          </w:p>
        </w:tc>
        <w:tc>
          <w:tcPr>
            <w:tcW w:w="3382" w:type="dxa"/>
            <w:vAlign w:val="center"/>
          </w:tcPr>
          <w:p w14:paraId="6695CD46"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Do 72 h od chwili powiadomienia</w:t>
            </w:r>
            <w:r w:rsidRPr="00B13ACF">
              <w:rPr>
                <w:sz w:val="18"/>
              </w:rPr>
              <w:t xml:space="preserve"> </w:t>
            </w:r>
            <w:r w:rsidRPr="00B13ACF">
              <w:rPr>
                <w:rFonts w:eastAsia="Verdana" w:cs="Verdana"/>
                <w:sz w:val="18"/>
              </w:rPr>
              <w:t>o wystąpieniu Wady</w:t>
            </w:r>
          </w:p>
        </w:tc>
      </w:tr>
      <w:tr w:rsidR="00B13ACF" w:rsidRPr="00B13ACF" w14:paraId="6E9A1593" w14:textId="77777777" w:rsidTr="00BD40BF">
        <w:trPr>
          <w:cantSplit/>
          <w:trHeight w:val="648"/>
        </w:trPr>
        <w:tc>
          <w:tcPr>
            <w:tcW w:w="2835" w:type="dxa"/>
            <w:vMerge/>
            <w:vAlign w:val="center"/>
          </w:tcPr>
          <w:p w14:paraId="014D2EEA" w14:textId="77777777" w:rsidR="00363999" w:rsidRPr="00B13ACF" w:rsidRDefault="00363999" w:rsidP="00BD40BF">
            <w:pPr>
              <w:spacing w:before="80" w:after="0"/>
              <w:ind w:left="11" w:right="68" w:hanging="11"/>
              <w:jc w:val="center"/>
              <w:rPr>
                <w:rFonts w:eastAsia="Verdana" w:cs="Verdana"/>
                <w:sz w:val="18"/>
              </w:rPr>
            </w:pPr>
          </w:p>
        </w:tc>
        <w:tc>
          <w:tcPr>
            <w:tcW w:w="3119" w:type="dxa"/>
            <w:vAlign w:val="center"/>
          </w:tcPr>
          <w:p w14:paraId="090D73BE"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3) Całkowite usunięcie Wady</w:t>
            </w:r>
          </w:p>
        </w:tc>
        <w:tc>
          <w:tcPr>
            <w:tcW w:w="3382" w:type="dxa"/>
            <w:vAlign w:val="center"/>
          </w:tcPr>
          <w:p w14:paraId="641E045B"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Zgodnie ze wskazanym przez Zamawiającego w powiadomieniu o wystąpieniu Wady terminem na usunięcie Wady</w:t>
            </w:r>
          </w:p>
        </w:tc>
      </w:tr>
      <w:tr w:rsidR="00B13ACF" w:rsidRPr="00B13ACF" w14:paraId="6A8EDCBA" w14:textId="77777777" w:rsidTr="00BD40BF">
        <w:trPr>
          <w:cantSplit/>
          <w:trHeight w:val="378"/>
        </w:trPr>
        <w:tc>
          <w:tcPr>
            <w:tcW w:w="2835" w:type="dxa"/>
            <w:vMerge w:val="restart"/>
            <w:vAlign w:val="center"/>
          </w:tcPr>
          <w:p w14:paraId="283A89F6" w14:textId="77777777" w:rsidR="00363999" w:rsidRPr="00B13ACF" w:rsidRDefault="00363999" w:rsidP="00BD40BF">
            <w:pPr>
              <w:spacing w:before="80" w:after="0"/>
              <w:ind w:left="11" w:right="68" w:hanging="11"/>
              <w:jc w:val="center"/>
              <w:rPr>
                <w:rFonts w:eastAsia="Verdana" w:cs="Verdana"/>
                <w:sz w:val="18"/>
              </w:rPr>
            </w:pPr>
            <w:r w:rsidRPr="00B13ACF">
              <w:rPr>
                <w:sz w:val="18"/>
              </w:rPr>
              <w:br w:type="page"/>
            </w:r>
            <w:r w:rsidRPr="00B13ACF">
              <w:rPr>
                <w:rFonts w:eastAsia="Verdana" w:cs="Verdana"/>
                <w:sz w:val="18"/>
              </w:rPr>
              <w:t>Wady Nieistotne</w:t>
            </w:r>
          </w:p>
          <w:p w14:paraId="68CB6906" w14:textId="78CE839F" w:rsidR="00363999" w:rsidRPr="00B13ACF" w:rsidRDefault="00363999" w:rsidP="00C07D21">
            <w:pPr>
              <w:spacing w:before="80" w:after="0"/>
              <w:ind w:left="11" w:right="68" w:hanging="11"/>
              <w:jc w:val="center"/>
              <w:rPr>
                <w:rFonts w:eastAsia="Verdana" w:cs="Verdana"/>
                <w:sz w:val="18"/>
              </w:rPr>
            </w:pPr>
            <w:r w:rsidRPr="00B13ACF">
              <w:rPr>
                <w:rFonts w:eastAsia="Verdana" w:cs="Verdana"/>
                <w:sz w:val="18"/>
              </w:rPr>
              <w:t>zgodnie z definicją zawartą w</w:t>
            </w:r>
            <w:r w:rsidR="00E843FE" w:rsidRPr="00B13ACF">
              <w:rPr>
                <w:rFonts w:eastAsia="Verdana" w:cs="Verdana"/>
                <w:sz w:val="18"/>
              </w:rPr>
              <w:t xml:space="preserve"> </w:t>
            </w:r>
            <w:r w:rsidR="00B13ACF" w:rsidRPr="00B13ACF">
              <w:rPr>
                <w:rFonts w:eastAsia="Verdana" w:cs="Verdana"/>
                <w:sz w:val="18"/>
              </w:rPr>
              <w:t>pkt. 1.5</w:t>
            </w:r>
            <w:r w:rsidRPr="00B13ACF">
              <w:rPr>
                <w:rFonts w:eastAsia="Verdana" w:cs="Verdana"/>
                <w:sz w:val="18"/>
              </w:rPr>
              <w:t xml:space="preserve"> </w:t>
            </w:r>
          </w:p>
        </w:tc>
        <w:tc>
          <w:tcPr>
            <w:tcW w:w="3119" w:type="dxa"/>
            <w:vAlign w:val="center"/>
          </w:tcPr>
          <w:p w14:paraId="5E88F008"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1) Potwierdzenie przyjęcia powiadomienia o wystąpieniu Wady i określenie sposobu usunięcia Wady</w:t>
            </w:r>
          </w:p>
        </w:tc>
        <w:tc>
          <w:tcPr>
            <w:tcW w:w="3382" w:type="dxa"/>
            <w:vAlign w:val="center"/>
          </w:tcPr>
          <w:p w14:paraId="466D4F7A"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Do 72 h od chwili powiadomienia</w:t>
            </w:r>
            <w:r w:rsidRPr="00B13ACF">
              <w:rPr>
                <w:sz w:val="18"/>
              </w:rPr>
              <w:t xml:space="preserve"> </w:t>
            </w:r>
            <w:r w:rsidRPr="00B13ACF">
              <w:rPr>
                <w:rFonts w:eastAsia="Verdana" w:cs="Verdana"/>
                <w:sz w:val="18"/>
              </w:rPr>
              <w:t>o wystąpieniu Wady</w:t>
            </w:r>
          </w:p>
        </w:tc>
      </w:tr>
      <w:tr w:rsidR="00B13ACF" w:rsidRPr="00B13ACF" w14:paraId="45C8CC70" w14:textId="77777777" w:rsidTr="00BD40BF">
        <w:trPr>
          <w:cantSplit/>
          <w:trHeight w:val="641"/>
        </w:trPr>
        <w:tc>
          <w:tcPr>
            <w:tcW w:w="2835" w:type="dxa"/>
            <w:vMerge/>
            <w:vAlign w:val="center"/>
          </w:tcPr>
          <w:p w14:paraId="05B6AA82" w14:textId="77777777" w:rsidR="00363999" w:rsidRPr="00B13ACF" w:rsidRDefault="00363999" w:rsidP="00BD40BF">
            <w:pPr>
              <w:spacing w:before="80" w:after="0"/>
              <w:ind w:left="11" w:right="68" w:hanging="11"/>
              <w:jc w:val="center"/>
              <w:rPr>
                <w:rFonts w:eastAsia="Verdana" w:cs="Verdana"/>
                <w:sz w:val="18"/>
              </w:rPr>
            </w:pPr>
          </w:p>
        </w:tc>
        <w:tc>
          <w:tcPr>
            <w:tcW w:w="3119" w:type="dxa"/>
            <w:vAlign w:val="center"/>
          </w:tcPr>
          <w:p w14:paraId="4BB7F606"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2) Całkowite usunięcie Wady</w:t>
            </w:r>
          </w:p>
        </w:tc>
        <w:tc>
          <w:tcPr>
            <w:tcW w:w="3382" w:type="dxa"/>
            <w:vAlign w:val="center"/>
          </w:tcPr>
          <w:p w14:paraId="6B6611E1"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Zgodnie ze wskazanym przez Zamawiającego w powiadomieniu o wystąpieniu Wady terminem na usunięcie Wady</w:t>
            </w:r>
          </w:p>
        </w:tc>
      </w:tr>
      <w:tr w:rsidR="00363999" w:rsidRPr="00B13ACF" w14:paraId="52A76DB6" w14:textId="77777777" w:rsidTr="00BD40BF">
        <w:trPr>
          <w:cantSplit/>
          <w:trHeight w:val="1116"/>
        </w:trPr>
        <w:tc>
          <w:tcPr>
            <w:tcW w:w="2835" w:type="dxa"/>
            <w:vAlign w:val="center"/>
          </w:tcPr>
          <w:p w14:paraId="4357CD83"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 xml:space="preserve">Wady w Dokumentach Wykonawcy </w:t>
            </w:r>
          </w:p>
          <w:p w14:paraId="1A73F8DA" w14:textId="7D7B2EFE" w:rsidR="00363999" w:rsidRPr="00B13ACF" w:rsidRDefault="00363999" w:rsidP="00C07D21">
            <w:pPr>
              <w:spacing w:before="80" w:after="0"/>
              <w:ind w:left="11" w:right="68" w:hanging="11"/>
              <w:jc w:val="center"/>
              <w:rPr>
                <w:rFonts w:eastAsia="Verdana" w:cs="Verdana"/>
                <w:sz w:val="18"/>
              </w:rPr>
            </w:pPr>
            <w:r w:rsidRPr="00B13ACF">
              <w:rPr>
                <w:rFonts w:eastAsia="Verdana" w:cs="Verdana"/>
                <w:sz w:val="18"/>
              </w:rPr>
              <w:t>zgodnie z definicją zawartą w</w:t>
            </w:r>
            <w:r w:rsidR="00B13ACF" w:rsidRPr="00B13ACF">
              <w:rPr>
                <w:rFonts w:eastAsia="Verdana" w:cs="Verdana"/>
                <w:sz w:val="18"/>
              </w:rPr>
              <w:t xml:space="preserve"> pkt. 1.5</w:t>
            </w:r>
            <w:r w:rsidRPr="00B13ACF">
              <w:rPr>
                <w:rFonts w:eastAsia="Verdana" w:cs="Verdana"/>
                <w:sz w:val="18"/>
              </w:rPr>
              <w:t xml:space="preserve"> </w:t>
            </w:r>
          </w:p>
        </w:tc>
        <w:tc>
          <w:tcPr>
            <w:tcW w:w="3119" w:type="dxa"/>
            <w:vAlign w:val="center"/>
          </w:tcPr>
          <w:p w14:paraId="6E1E8A00"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Usunięcie Wady</w:t>
            </w:r>
          </w:p>
        </w:tc>
        <w:tc>
          <w:tcPr>
            <w:tcW w:w="3382" w:type="dxa"/>
            <w:vAlign w:val="center"/>
          </w:tcPr>
          <w:p w14:paraId="24A114CB" w14:textId="77777777" w:rsidR="00363999" w:rsidRPr="00B13ACF" w:rsidRDefault="00363999" w:rsidP="00BD40BF">
            <w:pPr>
              <w:spacing w:before="80" w:after="0"/>
              <w:ind w:left="11" w:right="68" w:hanging="11"/>
              <w:jc w:val="center"/>
              <w:rPr>
                <w:rFonts w:eastAsia="Verdana" w:cs="Verdana"/>
                <w:sz w:val="18"/>
              </w:rPr>
            </w:pPr>
            <w:r w:rsidRPr="00B13ACF">
              <w:rPr>
                <w:rFonts w:eastAsia="Verdana" w:cs="Verdana"/>
                <w:sz w:val="18"/>
              </w:rPr>
              <w:t>Zgodnie ze wskazanym przez Zamawiającego w powiadomieniu o wystąpieniu Wady terminem na usunięcie Wady</w:t>
            </w:r>
          </w:p>
        </w:tc>
      </w:tr>
    </w:tbl>
    <w:p w14:paraId="7C28C145" w14:textId="77777777" w:rsidR="00363999" w:rsidRPr="00B13ACF" w:rsidRDefault="00363999" w:rsidP="00363999">
      <w:pPr>
        <w:pStyle w:val="Akapitzlist"/>
        <w:spacing w:before="80" w:after="0"/>
        <w:ind w:left="567" w:right="62"/>
        <w:contextualSpacing w:val="0"/>
        <w:jc w:val="both"/>
        <w:rPr>
          <w:rFonts w:eastAsia="Verdana" w:cs="Verdana"/>
        </w:rPr>
      </w:pPr>
    </w:p>
    <w:p w14:paraId="428B7252" w14:textId="77777777"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Zamawiający, uprawniony jest po przedłożeniu przez Gwaranta pisemnego uzasadnienia, do zmiany terminów wskazanych w punkcie 5.1 niniejszej Części Ogólnej, uwzględniając technologię usuwania Wady, zasady wiedzy technicznej i warunki klimatyczne.</w:t>
      </w:r>
    </w:p>
    <w:p w14:paraId="7AAD902C" w14:textId="74A797B8"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 xml:space="preserve">Stwierdzenie usunięcia Wady nastąpi z chwilą niezwłocznego podpisania przez obie Strony Protokołu Odbioru Prac z usuwania Wady. W Protokole Strony potwierdzą także termin usunięcia Wady. W przypadku braku możliwości podpisania protokołu w dniu, w którym dokonano usunięcia Wady, należy </w:t>
      </w:r>
      <w:r w:rsidR="00E233BC" w:rsidRPr="00B13ACF">
        <w:rPr>
          <w:rFonts w:eastAsia="Verdana" w:cs="Verdana"/>
        </w:rPr>
        <w:t>w p</w:t>
      </w:r>
      <w:r w:rsidR="005C5559" w:rsidRPr="00B13ACF">
        <w:rPr>
          <w:rFonts w:eastAsia="Verdana" w:cs="Verdana"/>
        </w:rPr>
        <w:t xml:space="preserve">rotokole podpisanym </w:t>
      </w:r>
      <w:r w:rsidR="005E0823" w:rsidRPr="00B13ACF">
        <w:rPr>
          <w:rFonts w:eastAsia="Verdana" w:cs="Verdana"/>
        </w:rPr>
        <w:t>w </w:t>
      </w:r>
      <w:r w:rsidR="005C5559" w:rsidRPr="00B13ACF">
        <w:rPr>
          <w:rFonts w:eastAsia="Verdana" w:cs="Verdana"/>
        </w:rPr>
        <w:t>późniejszym terminie podać faktyczną datę usunięcia Wady.</w:t>
      </w:r>
    </w:p>
    <w:p w14:paraId="6F80E6C3" w14:textId="203C61D3"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 xml:space="preserve">Jeżeli Gwarant nie wypełni obowiązku usunięcia Wady w uzgodnionym terminie, Zamawiający </w:t>
      </w:r>
      <w:r w:rsidR="005C5559" w:rsidRPr="00B13ACF">
        <w:rPr>
          <w:rFonts w:eastAsia="Verdana" w:cs="Verdana"/>
        </w:rPr>
        <w:t xml:space="preserve">uprawniony </w:t>
      </w:r>
      <w:r w:rsidRPr="00B13ACF">
        <w:rPr>
          <w:rFonts w:eastAsia="Verdana" w:cs="Verdana"/>
        </w:rPr>
        <w:t xml:space="preserve">będzie do zlecenia usunięcia Wady podmiotowi trzeciemu, </w:t>
      </w:r>
      <w:r w:rsidR="005C5559" w:rsidRPr="00B13ACF">
        <w:rPr>
          <w:rFonts w:eastAsia="Verdana" w:cs="Verdana"/>
        </w:rPr>
        <w:t>na wyłączny koszt i ryzyko Gwaranta bez potrzeby występowania o zastępczą zgodę Sądu, na co Gwarant wyraża zgodę</w:t>
      </w:r>
      <w:r w:rsidRPr="00B13ACF">
        <w:rPr>
          <w:rFonts w:eastAsia="Verdana" w:cs="Verdana"/>
        </w:rPr>
        <w:t>.</w:t>
      </w:r>
    </w:p>
    <w:p w14:paraId="3F21AD91" w14:textId="77777777" w:rsidR="00363999" w:rsidRPr="00B13ACF" w:rsidRDefault="00363999" w:rsidP="00661C26">
      <w:pPr>
        <w:pStyle w:val="Akapitzlist"/>
        <w:numPr>
          <w:ilvl w:val="1"/>
          <w:numId w:val="25"/>
        </w:numPr>
        <w:spacing w:before="80" w:after="0"/>
        <w:ind w:left="567" w:right="62" w:hanging="567"/>
        <w:contextualSpacing w:val="0"/>
        <w:jc w:val="both"/>
        <w:rPr>
          <w:rFonts w:eastAsia="Verdana" w:cs="Verdana"/>
        </w:rPr>
      </w:pPr>
      <w:r w:rsidRPr="00B13ACF">
        <w:rPr>
          <w:rFonts w:eastAsia="Verdana" w:cs="Verdana"/>
        </w:rPr>
        <w:t>Gwarant jest odpowiedzialny za wszelkie szkody i straty, które spowodował w czasie prac nad usuwaniem Wad.</w:t>
      </w:r>
    </w:p>
    <w:p w14:paraId="0A0C6EB8" w14:textId="77777777" w:rsidR="00363999" w:rsidRPr="00B13ACF" w:rsidRDefault="00363999" w:rsidP="00363999">
      <w:pPr>
        <w:spacing w:before="80" w:after="0"/>
        <w:ind w:right="62"/>
        <w:jc w:val="both"/>
        <w:rPr>
          <w:rFonts w:eastAsia="Verdana" w:cs="Verdana"/>
        </w:rPr>
      </w:pPr>
    </w:p>
    <w:p w14:paraId="1A00308F" w14:textId="77777777" w:rsidR="00363999" w:rsidRPr="00B13ACF" w:rsidRDefault="00363999" w:rsidP="00661C26">
      <w:pPr>
        <w:pStyle w:val="Nagwek2"/>
        <w:numPr>
          <w:ilvl w:val="0"/>
          <w:numId w:val="19"/>
        </w:numPr>
        <w:spacing w:before="80" w:after="0"/>
        <w:ind w:left="567" w:hanging="567"/>
        <w:rPr>
          <w:rFonts w:eastAsia="Verdana"/>
          <w:szCs w:val="20"/>
        </w:rPr>
      </w:pPr>
      <w:bookmarkStart w:id="17" w:name="_Toc455047571"/>
      <w:bookmarkStart w:id="18" w:name="_Toc533170539"/>
      <w:r w:rsidRPr="00B13ACF">
        <w:rPr>
          <w:rFonts w:eastAsia="Verdana"/>
          <w:szCs w:val="20"/>
        </w:rPr>
        <w:t>Komunikacja</w:t>
      </w:r>
      <w:bookmarkEnd w:id="17"/>
      <w:bookmarkEnd w:id="18"/>
      <w:r w:rsidRPr="00B13ACF">
        <w:rPr>
          <w:rFonts w:eastAsia="Verdana"/>
          <w:szCs w:val="20"/>
        </w:rPr>
        <w:t xml:space="preserve"> </w:t>
      </w:r>
    </w:p>
    <w:p w14:paraId="14539BC5"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Powiadomienia o wystąpieniu Wady dokonuje Zamawiający poprzez przekazanie odpowiedniej informacji osobie wskazanej przez Gwaranta.</w:t>
      </w:r>
    </w:p>
    <w:p w14:paraId="668B826C"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 powiadomieniu o wystąpieniu Wady, Zamawiający kwalifikuje kategorię Wady według kategorii ustalonych w Tabeli nr 1 zawartej w punkcie 5.1 niniejszej Części Ogólnej.</w:t>
      </w:r>
    </w:p>
    <w:p w14:paraId="1117495F" w14:textId="77777777" w:rsidR="00363999" w:rsidRPr="00B13ACF" w:rsidRDefault="00363999" w:rsidP="00661C26">
      <w:pPr>
        <w:pStyle w:val="Akapitzlist"/>
        <w:numPr>
          <w:ilvl w:val="1"/>
          <w:numId w:val="19"/>
        </w:numPr>
        <w:spacing w:before="80" w:after="0"/>
        <w:ind w:left="567" w:hanging="567"/>
        <w:contextualSpacing w:val="0"/>
        <w:jc w:val="both"/>
        <w:rPr>
          <w:rFonts w:eastAsia="Verdana" w:cs="Verdana"/>
        </w:rPr>
      </w:pPr>
      <w:r w:rsidRPr="00B13ACF">
        <w:rPr>
          <w:rFonts w:eastAsia="Verdana" w:cs="Verdana"/>
        </w:rPr>
        <w:t>Wszelka komunikacja pomiędzy Stronami potwierdzona zostanie w formie pisemnej.</w:t>
      </w:r>
    </w:p>
    <w:p w14:paraId="456676B6" w14:textId="478190ED"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 xml:space="preserve">O wystąpieniu Wady stwierdzonej „ad hoc” lub podczas Komisyjnego Przeglądu Gwarancyjnego odbywającego się bez udziału przedstawicieli Gwaranta w komisji, osoba wyznaczona przez Zamawiającego powiadamia telefonicznie osobę wskazaną przez Gwaranta, a następnie potwierdza powiadomienie o wystąpieniu wady </w:t>
      </w:r>
      <w:r w:rsidRPr="00B13ACF">
        <w:rPr>
          <w:rFonts w:eastAsia="Verdana" w:cs="Verdana"/>
          <w:strike/>
        </w:rPr>
        <w:t xml:space="preserve">faksem </w:t>
      </w:r>
      <w:r w:rsidR="005C5559" w:rsidRPr="00B13ACF">
        <w:rPr>
          <w:rFonts w:eastAsia="Verdana" w:cs="Verdana"/>
          <w:strike/>
        </w:rPr>
        <w:t>lub</w:t>
      </w:r>
      <w:r w:rsidR="005C5559" w:rsidRPr="00B13ACF">
        <w:rPr>
          <w:rFonts w:eastAsia="Verdana" w:cs="Verdana"/>
        </w:rPr>
        <w:t xml:space="preserve"> </w:t>
      </w:r>
      <w:r w:rsidRPr="00B13ACF">
        <w:rPr>
          <w:rFonts w:eastAsia="Verdana" w:cs="Verdana"/>
        </w:rPr>
        <w:t>pocztą elektroniczną na wskazane numery telefonów</w:t>
      </w:r>
      <w:r w:rsidRPr="00B13ACF">
        <w:rPr>
          <w:rFonts w:eastAsia="Verdana" w:cs="Verdana"/>
          <w:strike/>
        </w:rPr>
        <w:t>, numery faks i</w:t>
      </w:r>
      <w:r w:rsidRPr="00B13ACF">
        <w:rPr>
          <w:rFonts w:eastAsia="Verdana" w:cs="Verdana"/>
        </w:rPr>
        <w:t xml:space="preserve"> adresy</w:t>
      </w:r>
      <w:r w:rsidR="005C5559" w:rsidRPr="00B13ACF">
        <w:rPr>
          <w:rFonts w:eastAsia="Verdana" w:cs="Verdana"/>
        </w:rPr>
        <w:t xml:space="preserve"> email</w:t>
      </w:r>
      <w:r w:rsidRPr="00B13ACF">
        <w:rPr>
          <w:rFonts w:eastAsia="Verdana" w:cs="Verdana"/>
        </w:rPr>
        <w:t>. Potwierdzenie powiadomienia należy zachować dla celów dowodowych.</w:t>
      </w:r>
    </w:p>
    <w:p w14:paraId="06E4FC9C" w14:textId="150736FA"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lastRenderedPageBreak/>
        <w:t>W przypadku złożenia powiadomienia o wy</w:t>
      </w:r>
      <w:r w:rsidR="005E0823" w:rsidRPr="00B13ACF">
        <w:rPr>
          <w:rFonts w:eastAsia="Verdana" w:cs="Verdana"/>
        </w:rPr>
        <w:t>stąpieniu Wady, o którym mowa w </w:t>
      </w:r>
      <w:r w:rsidR="005C5559" w:rsidRPr="00B13ACF">
        <w:rPr>
          <w:rFonts w:eastAsia="Verdana" w:cs="Verdana"/>
        </w:rPr>
        <w:t xml:space="preserve">punkcie </w:t>
      </w:r>
      <w:r w:rsidRPr="00B13ACF">
        <w:rPr>
          <w:rFonts w:eastAsia="Verdana" w:cs="Verdana"/>
        </w:rPr>
        <w:t>6.4, Gwarant zobowiązany jest do potwierdzenia otrzymania tego powiadomienia. Kopia potwierdzenia otrzymania powiadomienia o wystąpieniu Wady przesyłana jest przez Gwaranta również pocztą elektroniczną do Zamawiającego.</w:t>
      </w:r>
    </w:p>
    <w:p w14:paraId="19BBB402" w14:textId="5C9D1559"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 przypadku Wad stwierdzonych podczas Komisyjnego Przeglądu Gwarancyjnego odbywającego się z udziałem przedstawicieli Gwaranta</w:t>
      </w:r>
      <w:r w:rsidR="00C07D21" w:rsidRPr="00B13ACF">
        <w:rPr>
          <w:rFonts w:eastAsia="Verdana" w:cs="Verdana"/>
        </w:rPr>
        <w:t>.</w:t>
      </w:r>
      <w:r w:rsidRPr="00B13ACF">
        <w:rPr>
          <w:rFonts w:eastAsia="Verdana" w:cs="Verdana"/>
        </w:rPr>
        <w:t xml:space="preserve"> Protokół Komisyjnego Przeglądu Gwarancyjnego ma moc potwierdzenia powiadomienia o wystąpieniu Wady oraz moc potwierdzenia przez Gwaranta otrzymania powiadomienia o wystąpieniu Wady, bez konieczności dokonania przez Zamawiającego dodatkowego powiadomienia o wystąpieniu Wady oraz bez konieczności dokonania przez Gwaranta dodatkowego potwierdzenia otrzymania powiadomienia o wystąpieniu Wady.</w:t>
      </w:r>
    </w:p>
    <w:p w14:paraId="50F56134"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Zarówno Zamawiający jak i Gwarant sporządzą wykaz osób upoważnionych do kontaktów, przekazywania, przyjmowania powiadomień o ujawnieniu się Wad i potwierdzania otrzymania powiadomienia o ujawnieniu Wady. Wykazy osób zostaną przekazane przez Strony w terminie 7 dni od daty przekazania dokumentu Gwarancji Jakości Zamawiającemu. O każdej zmianie takich osób, Strony obowiązane są informować się niezwłocznie, pod rygorem uznania ostatnio wskazanej osoby jako upoważnionej w myśl niniejszego postanowienia.</w:t>
      </w:r>
    </w:p>
    <w:p w14:paraId="709EF5BC"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Wszelkie pisma, kierowane będą przez Strony na adresy podane w niniejszym dokumencie Gwarancji Jakości.</w:t>
      </w:r>
    </w:p>
    <w:p w14:paraId="1D461214"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O zmianach w danych adresowych, o których mowa w punkcie 6.8 niniejszej Części Ogólnej, Strony obowiązane są informować się niezwłocznie, nie później niż 7 dni od chwili zaistnienia zmian, pod rygorem uznania wysłania korespondencji pod ostatnio znany adres za skutecznie doręczoną.</w:t>
      </w:r>
    </w:p>
    <w:p w14:paraId="24304895" w14:textId="77777777" w:rsidR="00363999" w:rsidRPr="00B13ACF" w:rsidRDefault="00363999" w:rsidP="00661C26">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Gwarant jest obowiązany w terminie 7 dni od daty złożenia wniosku o ogłoszenie upadłości powiadomić pisemnie o tym fakcie Zamawiającego.</w:t>
      </w:r>
    </w:p>
    <w:p w14:paraId="6B5D4242" w14:textId="77777777" w:rsidR="00363999" w:rsidRPr="00B13ACF" w:rsidRDefault="00363999" w:rsidP="00363999">
      <w:pPr>
        <w:pStyle w:val="Akapitzlist"/>
        <w:spacing w:before="80" w:after="0"/>
        <w:ind w:left="567" w:right="63"/>
        <w:contextualSpacing w:val="0"/>
        <w:jc w:val="both"/>
        <w:rPr>
          <w:rFonts w:eastAsia="Verdana" w:cs="Verdana"/>
        </w:rPr>
      </w:pPr>
    </w:p>
    <w:p w14:paraId="73C3DEC7" w14:textId="5617FD8F" w:rsidR="00363999" w:rsidRPr="00B13ACF" w:rsidRDefault="00363999" w:rsidP="00661C26">
      <w:pPr>
        <w:pStyle w:val="Nagwek2"/>
        <w:numPr>
          <w:ilvl w:val="0"/>
          <w:numId w:val="19"/>
        </w:numPr>
        <w:spacing w:before="80" w:after="0"/>
        <w:ind w:left="567" w:hanging="567"/>
        <w:rPr>
          <w:rFonts w:eastAsia="Verdana"/>
          <w:b w:val="0"/>
          <w:szCs w:val="20"/>
        </w:rPr>
      </w:pPr>
      <w:bookmarkStart w:id="19" w:name="_Toc533170540"/>
      <w:r w:rsidRPr="00B13ACF">
        <w:rPr>
          <w:rFonts w:eastAsia="Verdana"/>
          <w:szCs w:val="20"/>
        </w:rPr>
        <w:t>Kary</w:t>
      </w:r>
      <w:bookmarkEnd w:id="19"/>
      <w:r w:rsidR="00C05E03" w:rsidRPr="00B13ACF">
        <w:rPr>
          <w:rFonts w:eastAsia="Verdana"/>
          <w:szCs w:val="20"/>
        </w:rPr>
        <w:t xml:space="preserve"> </w:t>
      </w:r>
    </w:p>
    <w:p w14:paraId="50690DEC" w14:textId="79C6C6B3" w:rsidR="00363999" w:rsidRPr="00B13ACF" w:rsidRDefault="00C05E03" w:rsidP="00B13ACF">
      <w:pPr>
        <w:ind w:left="567"/>
        <w:rPr>
          <w:rFonts w:eastAsia="Verdana"/>
        </w:rPr>
      </w:pPr>
      <w:r w:rsidRPr="00B13ACF">
        <w:rPr>
          <w:rFonts w:eastAsia="Verdana"/>
          <w:bCs/>
          <w:iCs/>
        </w:rPr>
        <w:t xml:space="preserve">W przypadku </w:t>
      </w:r>
      <w:proofErr w:type="gramStart"/>
      <w:r w:rsidRPr="00B13ACF">
        <w:rPr>
          <w:rFonts w:eastAsia="Verdana"/>
          <w:bCs/>
          <w:iCs/>
        </w:rPr>
        <w:t>nie wywiązywania</w:t>
      </w:r>
      <w:proofErr w:type="gramEnd"/>
      <w:r w:rsidRPr="00B13ACF">
        <w:rPr>
          <w:rFonts w:eastAsia="Verdana"/>
          <w:bCs/>
          <w:iCs/>
        </w:rPr>
        <w:t xml:space="preserve"> się z zobowiązań niniejszej Gwarancji Jakości </w:t>
      </w:r>
      <w:proofErr w:type="spellStart"/>
      <w:r w:rsidRPr="00B13ACF">
        <w:rPr>
          <w:rFonts w:eastAsia="Verdana"/>
          <w:bCs/>
          <w:iCs/>
        </w:rPr>
        <w:t>Zamawiajacy</w:t>
      </w:r>
      <w:proofErr w:type="spellEnd"/>
      <w:r w:rsidRPr="00B13ACF">
        <w:rPr>
          <w:rFonts w:eastAsia="Verdana"/>
          <w:bCs/>
          <w:iCs/>
        </w:rPr>
        <w:t xml:space="preserve"> jest uprawniony do naliczenia kar umownych zgodnie z zapisami umowy. </w:t>
      </w:r>
      <w:bookmarkStart w:id="20" w:name="_Toc455047572"/>
      <w:bookmarkStart w:id="21" w:name="_Toc533170541"/>
      <w:r w:rsidR="00363999" w:rsidRPr="00B13ACF">
        <w:rPr>
          <w:rFonts w:eastAsia="Verdana"/>
        </w:rPr>
        <w:t>Postanowienia końcowe</w:t>
      </w:r>
      <w:bookmarkEnd w:id="20"/>
      <w:bookmarkEnd w:id="21"/>
      <w:r w:rsidR="00363999" w:rsidRPr="00B13ACF">
        <w:rPr>
          <w:rFonts w:eastAsia="Verdana"/>
        </w:rPr>
        <w:t xml:space="preserve"> </w:t>
      </w:r>
    </w:p>
    <w:p w14:paraId="6947E9C1" w14:textId="77777777" w:rsidR="00363999" w:rsidRPr="00B13ACF" w:rsidRDefault="00363999" w:rsidP="00661C26">
      <w:pPr>
        <w:pStyle w:val="Akapitzlist"/>
        <w:numPr>
          <w:ilvl w:val="1"/>
          <w:numId w:val="19"/>
        </w:numPr>
        <w:spacing w:before="80" w:after="0"/>
        <w:ind w:left="567" w:right="63" w:hanging="567"/>
        <w:contextualSpacing w:val="0"/>
        <w:jc w:val="both"/>
        <w:rPr>
          <w:rFonts w:eastAsia="Arial"/>
        </w:rPr>
      </w:pPr>
      <w:r w:rsidRPr="00B13ACF">
        <w:rPr>
          <w:rFonts w:eastAsia="Verdana" w:cs="Verdana"/>
        </w:rPr>
        <w:t>W sprawach nieuregulowanych niniejszą Gwarancją Jakości zastosowanie mają odpowiednie przepisy prawa polskiego, w szczególności przepisy Działu III Gwarancja przy sprzedaży ustawy - Kodeks Cywilny oraz ustawa - Prawo Zamówień Publicznych.</w:t>
      </w:r>
    </w:p>
    <w:p w14:paraId="6946188D" w14:textId="515E169B" w:rsidR="003E1D1D" w:rsidRPr="00B13ACF" w:rsidRDefault="00363999" w:rsidP="003E1D1D">
      <w:pPr>
        <w:pStyle w:val="Akapitzlist"/>
        <w:numPr>
          <w:ilvl w:val="1"/>
          <w:numId w:val="19"/>
        </w:numPr>
        <w:spacing w:before="80" w:after="0"/>
        <w:ind w:left="567" w:right="63" w:hanging="567"/>
        <w:contextualSpacing w:val="0"/>
        <w:jc w:val="both"/>
        <w:rPr>
          <w:rFonts w:eastAsia="Verdana" w:cs="Verdana"/>
        </w:rPr>
      </w:pPr>
      <w:r w:rsidRPr="00B13ACF">
        <w:rPr>
          <w:rFonts w:eastAsia="Verdana" w:cs="Verdana"/>
        </w:rPr>
        <w:t>Niniejsza Gwarancja Jakości stanowi integralną część Umowy.</w:t>
      </w:r>
    </w:p>
    <w:p w14:paraId="4592533E" w14:textId="77777777" w:rsidR="00363999" w:rsidRPr="00B13ACF" w:rsidRDefault="00363999" w:rsidP="00363999">
      <w:pPr>
        <w:spacing w:before="80" w:after="0"/>
        <w:rPr>
          <w:rFonts w:eastAsia="Verdana" w:cs="Verdana"/>
        </w:rPr>
      </w:pPr>
    </w:p>
    <w:p w14:paraId="4431D89C" w14:textId="77777777" w:rsidR="00363999" w:rsidRPr="00B13ACF" w:rsidRDefault="00363999" w:rsidP="00363999">
      <w:pPr>
        <w:spacing w:before="80" w:after="0"/>
        <w:rPr>
          <w:rFonts w:eastAsia="Verdana" w:cs="Verdana"/>
        </w:rPr>
      </w:pPr>
    </w:p>
    <w:p w14:paraId="474FA88C" w14:textId="77777777" w:rsidR="00363999" w:rsidRPr="00B13ACF" w:rsidRDefault="00363999" w:rsidP="00363999">
      <w:pPr>
        <w:spacing w:before="80" w:after="0"/>
        <w:ind w:left="-5" w:hanging="10"/>
        <w:rPr>
          <w:rFonts w:eastAsia="Verdana" w:cs="Verdana"/>
        </w:rPr>
      </w:pPr>
      <w:r w:rsidRPr="00B13ACF">
        <w:rPr>
          <w:rFonts w:eastAsia="Verdana" w:cs="Verdana"/>
          <w:b/>
        </w:rPr>
        <w:t xml:space="preserve">PODPISY I PIECZĘCIE </w:t>
      </w:r>
    </w:p>
    <w:p w14:paraId="5601CE76" w14:textId="0A3DDA4B" w:rsidR="00363999" w:rsidRPr="00B13ACF" w:rsidRDefault="00363999" w:rsidP="00363999">
      <w:pPr>
        <w:spacing w:before="80" w:after="0"/>
        <w:ind w:left="-5" w:hanging="10"/>
        <w:rPr>
          <w:rFonts w:eastAsia="Verdana" w:cs="Verdana"/>
        </w:rPr>
      </w:pPr>
      <w:r w:rsidRPr="00B13ACF">
        <w:rPr>
          <w:rFonts w:eastAsia="Verdana" w:cs="Verdana"/>
          <w:b/>
        </w:rPr>
        <w:t>W imieniu Gwaranta:</w:t>
      </w:r>
      <w:r w:rsidRPr="00B13ACF">
        <w:rPr>
          <w:rFonts w:eastAsia="Verdana" w:cs="Verdana"/>
        </w:rPr>
        <w:br w:type="page"/>
      </w:r>
    </w:p>
    <w:p w14:paraId="1E5A6946" w14:textId="7D1EDAFE" w:rsidR="00363999" w:rsidRPr="00B13ACF" w:rsidRDefault="00363999" w:rsidP="00661C26">
      <w:pPr>
        <w:pStyle w:val="Nagwek1"/>
        <w:numPr>
          <w:ilvl w:val="0"/>
          <w:numId w:val="24"/>
        </w:numPr>
        <w:spacing w:before="80" w:after="0"/>
        <w:ind w:left="567" w:hanging="567"/>
        <w:rPr>
          <w:kern w:val="0"/>
          <w:szCs w:val="20"/>
        </w:rPr>
      </w:pPr>
      <w:bookmarkStart w:id="22" w:name="_Toc408483500"/>
      <w:bookmarkStart w:id="23" w:name="_Toc408483793"/>
      <w:bookmarkStart w:id="24" w:name="_Toc408484180"/>
      <w:bookmarkStart w:id="25" w:name="_Toc455047573"/>
      <w:bookmarkStart w:id="26" w:name="_Toc533170542"/>
      <w:bookmarkEnd w:id="2"/>
      <w:r w:rsidRPr="00B13ACF">
        <w:rPr>
          <w:kern w:val="0"/>
          <w:szCs w:val="20"/>
        </w:rPr>
        <w:lastRenderedPageBreak/>
        <w:t>CZĘŚĆ SZCZEGÓŁOWA</w:t>
      </w:r>
      <w:bookmarkEnd w:id="22"/>
      <w:bookmarkEnd w:id="23"/>
      <w:bookmarkEnd w:id="24"/>
      <w:bookmarkEnd w:id="25"/>
      <w:bookmarkEnd w:id="26"/>
    </w:p>
    <w:p w14:paraId="0D856532" w14:textId="175CDF47" w:rsidR="00363999" w:rsidRPr="00B13ACF" w:rsidRDefault="005E0823" w:rsidP="00661C26">
      <w:pPr>
        <w:pStyle w:val="Akapitzlist"/>
        <w:numPr>
          <w:ilvl w:val="0"/>
          <w:numId w:val="22"/>
        </w:numPr>
        <w:spacing w:before="80" w:after="0"/>
        <w:ind w:left="567" w:hanging="567"/>
        <w:contextualSpacing w:val="0"/>
        <w:jc w:val="both"/>
        <w:rPr>
          <w:b/>
        </w:rPr>
      </w:pPr>
      <w:r w:rsidRPr="00B13ACF">
        <w:rPr>
          <w:b/>
        </w:rPr>
        <w:t>Postanowienia ogólne</w:t>
      </w:r>
    </w:p>
    <w:p w14:paraId="5187DC92" w14:textId="6B0BAA84" w:rsidR="00363999" w:rsidRPr="00B13ACF" w:rsidRDefault="00524487" w:rsidP="00363999">
      <w:pPr>
        <w:spacing w:before="80" w:after="0"/>
        <w:jc w:val="both"/>
      </w:pPr>
      <w:r w:rsidRPr="00B13ACF">
        <w:t xml:space="preserve">Część Szczegółowa obejmuje elementy Przedmiotu Umowy wskazane w poniższych punktach. Wykonawca gwarantuje, że poszczególne wymienione elementy zachowają wskazane poniżej cechy funkcjonalne i wskaźniki, z uwzględnieniem określonego w niniejszej Części Gwarancji Jakości stopnia zużycia. </w:t>
      </w:r>
      <w:r w:rsidR="00363999" w:rsidRPr="00B13ACF">
        <w:t>Opisane poniżej cechy funkcjonalne i wskaźniki będą ustalane w oparciu o metodologię opisaną w niniejszej Części.</w:t>
      </w:r>
    </w:p>
    <w:p w14:paraId="6425A9B9" w14:textId="278AA812" w:rsidR="00363999" w:rsidRPr="00B13ACF" w:rsidRDefault="00363999" w:rsidP="00363999">
      <w:pPr>
        <w:spacing w:before="80" w:after="0"/>
        <w:jc w:val="both"/>
      </w:pPr>
      <w:r w:rsidRPr="00B13ACF">
        <w:t>Okres Gwarancji Jakości dla niżej wymienionych elementów Przedmiotu Umowy został określony</w:t>
      </w:r>
      <w:r w:rsidR="00091067" w:rsidRPr="00B13ACF">
        <w:t xml:space="preserve"> w umowie</w:t>
      </w:r>
      <w:r w:rsidR="00C07D21" w:rsidRPr="00B13ACF">
        <w:t>.</w:t>
      </w:r>
    </w:p>
    <w:p w14:paraId="5FD39B23" w14:textId="0557A31D" w:rsidR="000E2B14" w:rsidRPr="00B13ACF" w:rsidRDefault="000E2B14" w:rsidP="00363999">
      <w:pPr>
        <w:spacing w:before="80" w:after="0"/>
        <w:jc w:val="both"/>
      </w:pPr>
      <w:r w:rsidRPr="00B13ACF">
        <w:t xml:space="preserve">Jeżeli poszczególne elementy wymienione w Części Szczegółowej nie były elementem wykonania Przedmiotu Umowy to zapisy te nie mają zastosowania. </w:t>
      </w:r>
    </w:p>
    <w:p w14:paraId="53F37484" w14:textId="77777777" w:rsidR="000E2B14" w:rsidRPr="00B13ACF" w:rsidRDefault="000E2B14" w:rsidP="00363999">
      <w:pPr>
        <w:spacing w:before="80" w:after="0"/>
        <w:jc w:val="both"/>
      </w:pPr>
    </w:p>
    <w:p w14:paraId="13ED1280" w14:textId="77777777" w:rsidR="00363999" w:rsidRPr="00B13ACF" w:rsidRDefault="00363999" w:rsidP="00661C26">
      <w:pPr>
        <w:pStyle w:val="Akapitzlist"/>
        <w:numPr>
          <w:ilvl w:val="0"/>
          <w:numId w:val="22"/>
        </w:numPr>
        <w:spacing w:before="80" w:after="0"/>
        <w:ind w:left="567" w:hanging="567"/>
        <w:contextualSpacing w:val="0"/>
        <w:jc w:val="both"/>
        <w:rPr>
          <w:b/>
        </w:rPr>
      </w:pPr>
      <w:r w:rsidRPr="00B13ACF">
        <w:rPr>
          <w:b/>
        </w:rPr>
        <w:t>Zakres gwarancji dla elementów wymienionych w Części Szczegółowej:</w:t>
      </w:r>
    </w:p>
    <w:p w14:paraId="08EB6862" w14:textId="77777777" w:rsidR="00363999" w:rsidRPr="00B13ACF" w:rsidRDefault="00363999" w:rsidP="00661C26">
      <w:pPr>
        <w:pStyle w:val="Nagwek2"/>
        <w:numPr>
          <w:ilvl w:val="0"/>
          <w:numId w:val="23"/>
        </w:numPr>
        <w:spacing w:before="240" w:after="0"/>
        <w:ind w:left="567" w:hanging="567"/>
        <w:rPr>
          <w:szCs w:val="20"/>
        </w:rPr>
      </w:pPr>
      <w:bookmarkStart w:id="27" w:name="_Toc455047574"/>
      <w:bookmarkStart w:id="28" w:name="_Toc533170543"/>
      <w:r w:rsidRPr="00B13ACF">
        <w:rPr>
          <w:szCs w:val="20"/>
        </w:rPr>
        <w:t>NAWIERZCHNIE</w:t>
      </w:r>
      <w:bookmarkEnd w:id="27"/>
      <w:bookmarkEnd w:id="28"/>
    </w:p>
    <w:p w14:paraId="4A102DB3" w14:textId="77777777" w:rsidR="00363999" w:rsidRPr="00B13ACF" w:rsidRDefault="00363999" w:rsidP="00363999">
      <w:pPr>
        <w:spacing w:before="80" w:after="0"/>
        <w:jc w:val="both"/>
      </w:pPr>
      <w:r w:rsidRPr="00B13ACF">
        <w:t>W okresie obowiązywania Gwarancji Jakości stan nawierzchni oraz wartości parametrów nawierzchni powinny odpowiadać co najmniej wymaganiom określonym w rozdziałach 1.1 oraz 1.2 części Szczegółowej Gwarancji Jakości. W przypadku przekroczenia wymienionych w rozdziałach 1.1 oraz 1.2 wartości parametrów nawierzchni, Wykonawca jest zobowiązany przedstawić do zatwierdzenia Zamawiającemu program naprawczy.</w:t>
      </w:r>
    </w:p>
    <w:p w14:paraId="69B60B69" w14:textId="5BFF26BB" w:rsidR="00363999" w:rsidRPr="00B13ACF" w:rsidRDefault="00363999" w:rsidP="00363999">
      <w:pPr>
        <w:spacing w:before="80" w:after="0"/>
        <w:jc w:val="both"/>
      </w:pPr>
      <w:r w:rsidRPr="00B13ACF">
        <w:t>Przed przygotowaniem programu naprawczego każdą naprawę uszkodzeń strukturalnych (np. koleina strukturalna, spękania) należy poprzedzić rozpoznaniem uszkodzenia poprzez wykonanie</w:t>
      </w:r>
      <w:r w:rsidR="00BD40BF" w:rsidRPr="00B13ACF">
        <w:t xml:space="preserve"> niezbędnych badań (np. odwiertów)</w:t>
      </w:r>
      <w:r w:rsidRPr="00B13ACF">
        <w:t xml:space="preserve">, w celu sprawdzenia na jaką głębokość sięga uszkodzenie. Jeżeli powodem uszkodzenia są warstwy niżej leżące (stwierdzenie na podstawie wyników badań), należy również te warstwy wymienić. </w:t>
      </w:r>
    </w:p>
    <w:p w14:paraId="07E09DC1" w14:textId="667DB26B" w:rsidR="00363999" w:rsidRPr="00B13ACF" w:rsidRDefault="00363999" w:rsidP="00363999">
      <w:pPr>
        <w:spacing w:before="80" w:after="0"/>
        <w:jc w:val="both"/>
      </w:pPr>
      <w:r w:rsidRPr="00B13ACF">
        <w:t>Jeżeli program naprawczy dotyczy wymiany nawierzchni asfaltowej, to naprawa powinna być wykonana na szerokości jednego pasa ruchu między liniami oznakowania poziomego. W przypadku gdy uszkodzenie jest na granicy pasów to naprawa musi być wykonana na obu pasach ruchu (np. pas wewnętrzny i zewnętrzny łącznie z opaską bezpieczeństwa lub pas wewnętrzny i pas awaryjny). Wówczas należy również odtworzyć brakujące oznakowanie poziome. Długość minimalna wynikać powinna z odcinków miarodajnych na jakich występują uszkodzenia lub w przypadku łat 20 m. Jeżeli odległość między łatami jest mniejsza niż 20 m, to należy je łączyć ze sobą w jeden ciąg.</w:t>
      </w:r>
    </w:p>
    <w:p w14:paraId="4F10AA16" w14:textId="77777777" w:rsidR="00363999" w:rsidRPr="00B13ACF" w:rsidRDefault="00363999" w:rsidP="00363999">
      <w:pPr>
        <w:spacing w:before="80" w:after="0"/>
        <w:jc w:val="both"/>
      </w:pPr>
      <w:r w:rsidRPr="00B13ACF">
        <w:t>Wymiana warstwy ścieralnej obejmuje: wyfrezowanie istniejącej warstwy i wbudowanie nowej mieszanki mineralno-asfaltowej wyprodukowanej na tym samym rodzaju kruszywa lub kruszywie o zbliżonym współczynniku luminancji jak na ciągu głównym (o tym samym kolorze) spełniającym wymagania techniczne jak dla warstwy ścieralnej.</w:t>
      </w:r>
    </w:p>
    <w:p w14:paraId="4D59F7F1" w14:textId="050C5FC7" w:rsidR="00363999" w:rsidRPr="00B13ACF" w:rsidRDefault="00363999" w:rsidP="00363999">
      <w:pPr>
        <w:spacing w:before="80" w:after="0"/>
        <w:jc w:val="both"/>
      </w:pPr>
      <w:r w:rsidRPr="00B13ACF">
        <w:t>Spękania poprzeczne termiczne wymagają u</w:t>
      </w:r>
      <w:r w:rsidR="00BD40BF" w:rsidRPr="00B13ACF">
        <w:t>szczelnienia, z zastosowaniem specjalistycznych materiałów przeznaczonych do takich celów</w:t>
      </w:r>
      <w:r w:rsidR="007551C1" w:rsidRPr="00B13ACF">
        <w:t>,</w:t>
      </w:r>
      <w:r w:rsidR="00DB5D3C" w:rsidRPr="00B13ACF">
        <w:t xml:space="preserve"> w terminie jak dla Wady Istotnej.</w:t>
      </w:r>
    </w:p>
    <w:p w14:paraId="0F89AC40" w14:textId="77777777" w:rsidR="00363999" w:rsidRPr="00B13ACF" w:rsidRDefault="00363999" w:rsidP="00363999">
      <w:pPr>
        <w:spacing w:before="80" w:after="0"/>
        <w:jc w:val="both"/>
      </w:pPr>
      <w:r w:rsidRPr="00B13ACF">
        <w:t>Pozostałe rodzaje spękań wymagają szczegółowego rozpoznania i charakterystycznego dla danego uszkodzenia sposobu naprawy.</w:t>
      </w:r>
    </w:p>
    <w:p w14:paraId="613626ED" w14:textId="77777777" w:rsidR="00363999" w:rsidRPr="00B13ACF" w:rsidRDefault="00363999" w:rsidP="00363999">
      <w:pPr>
        <w:spacing w:before="80" w:after="0"/>
        <w:jc w:val="both"/>
      </w:pPr>
      <w:r w:rsidRPr="00B13ACF">
        <w:t xml:space="preserve">Ocenę stanu nawierzchni wykonuje się podczas objazdów wykonywanych przez pracowników Zamawiającego (np. Rejonów), przez Komisje powoływane przez Zamawiającego jak również przy użyciu mechanicznych urządzeń pomiarowych, pojazdów umożliwiających </w:t>
      </w:r>
      <w:proofErr w:type="spellStart"/>
      <w:r w:rsidRPr="00B13ACF">
        <w:t>fotorejestrację</w:t>
      </w:r>
      <w:proofErr w:type="spellEnd"/>
      <w:r w:rsidRPr="00B13ACF">
        <w:t xml:space="preserve"> w trybie ciągłym, wyposażonych w oprogramowanie do </w:t>
      </w:r>
      <w:r w:rsidRPr="00B13ACF">
        <w:lastRenderedPageBreak/>
        <w:t>automatycznego rozpoznawania i klasyfikowania rodzajów uszkodzeń oraz na podstawie badań laboratoryjnych.</w:t>
      </w:r>
    </w:p>
    <w:p w14:paraId="7580323A" w14:textId="77777777" w:rsidR="00363999" w:rsidRPr="00B13ACF" w:rsidRDefault="00363999" w:rsidP="00363999">
      <w:pPr>
        <w:spacing w:before="80" w:after="0"/>
        <w:jc w:val="both"/>
      </w:pPr>
      <w:r w:rsidRPr="00B13ACF">
        <w:t xml:space="preserve">Metodyka pomiaru cech funkcjonalnych określonych w niniejszej Części – o ile nie została określona szczegółowo – będzie zgodna z zasadami wskazanymi w </w:t>
      </w:r>
      <w:r w:rsidRPr="00B13ACF">
        <w:rPr>
          <w:bCs/>
        </w:rPr>
        <w:t>Zarządzeniu nr</w:t>
      </w:r>
      <w:r w:rsidRPr="00B13ACF">
        <w:rPr>
          <w:b/>
          <w:bCs/>
        </w:rPr>
        <w:t> </w:t>
      </w:r>
      <w:r w:rsidRPr="00B13ACF">
        <w:rPr>
          <w:bCs/>
        </w:rPr>
        <w:t>34</w:t>
      </w:r>
      <w:r w:rsidRPr="00B13ACF">
        <w:t> Generalnego Dyrektora Dróg Krajowych i Autostrad z dnia 30 kwietnia 2015 r. w sprawie diagnostyki stanu nawierzchni i jej elementów.</w:t>
      </w:r>
    </w:p>
    <w:p w14:paraId="5213DCFF" w14:textId="77777777" w:rsidR="001A4F67" w:rsidRPr="00B13ACF" w:rsidRDefault="001A4F67" w:rsidP="00363999">
      <w:pPr>
        <w:spacing w:before="80" w:after="0"/>
        <w:jc w:val="both"/>
      </w:pPr>
      <w:r w:rsidRPr="00B13ACF">
        <w:t>Do oceny nawierzchni w okresie gwarancji dopuszcza się wykorzystywanie wyników badań równości, profilu i właściwości przeciwpoślizgowych wykonywanych dla potrzeb DSN (w tym np. dla wstępnego wyznaczenia obszarów wykazujących niezgodności w celu poddania ich bardziej szczegółowym badaniom).</w:t>
      </w:r>
    </w:p>
    <w:p w14:paraId="5F11FB46" w14:textId="77777777" w:rsidR="00363999" w:rsidRPr="00B13ACF" w:rsidRDefault="00363999" w:rsidP="00363999">
      <w:pPr>
        <w:spacing w:before="80" w:after="0"/>
        <w:jc w:val="both"/>
      </w:pPr>
    </w:p>
    <w:p w14:paraId="4FE1A810" w14:textId="77777777" w:rsidR="00363999" w:rsidRPr="00B13ACF" w:rsidRDefault="00363999" w:rsidP="00363999">
      <w:pPr>
        <w:pStyle w:val="Akapitzlist"/>
        <w:numPr>
          <w:ilvl w:val="1"/>
          <w:numId w:val="2"/>
        </w:numPr>
        <w:spacing w:before="80" w:after="0"/>
        <w:ind w:left="567" w:hanging="567"/>
        <w:contextualSpacing w:val="0"/>
        <w:rPr>
          <w:b/>
        </w:rPr>
      </w:pPr>
      <w:r w:rsidRPr="00B13ACF">
        <w:rPr>
          <w:b/>
        </w:rPr>
        <w:t xml:space="preserve">Nawierzchnie podatne i półsztywne </w:t>
      </w:r>
    </w:p>
    <w:p w14:paraId="1EF93C6A" w14:textId="77777777" w:rsidR="00363999" w:rsidRPr="00B13ACF" w:rsidRDefault="00363999" w:rsidP="00363999">
      <w:pPr>
        <w:pStyle w:val="Akapitzlist"/>
        <w:numPr>
          <w:ilvl w:val="2"/>
          <w:numId w:val="2"/>
        </w:numPr>
        <w:spacing w:before="80" w:after="0"/>
        <w:ind w:left="709" w:hanging="709"/>
        <w:contextualSpacing w:val="0"/>
        <w:jc w:val="both"/>
      </w:pPr>
      <w:r w:rsidRPr="00B13ACF">
        <w:t>Stan nawierzchni</w:t>
      </w:r>
    </w:p>
    <w:p w14:paraId="5A8F76BD" w14:textId="77777777" w:rsidR="001A4F67" w:rsidRPr="00B13ACF" w:rsidRDefault="00363999" w:rsidP="00363999">
      <w:pPr>
        <w:spacing w:after="0"/>
        <w:jc w:val="both"/>
      </w:pPr>
      <w:r w:rsidRPr="00B13ACF">
        <w:t>Ocenie podlegają</w:t>
      </w:r>
      <w:r w:rsidR="001A4F67" w:rsidRPr="00B13ACF">
        <w:t>:</w:t>
      </w:r>
    </w:p>
    <w:p w14:paraId="4CCB0E65" w14:textId="2D7ABA5D" w:rsidR="00363999" w:rsidRPr="00B13ACF" w:rsidRDefault="001A4F67" w:rsidP="008A5D94">
      <w:pPr>
        <w:pStyle w:val="Akapitzlist"/>
        <w:numPr>
          <w:ilvl w:val="0"/>
          <w:numId w:val="33"/>
        </w:numPr>
        <w:spacing w:after="0"/>
        <w:jc w:val="both"/>
      </w:pPr>
      <w:r w:rsidRPr="00B13ACF">
        <w:t xml:space="preserve">właściwości użytkowe nawierzchni, w </w:t>
      </w:r>
      <w:proofErr w:type="gramStart"/>
      <w:r w:rsidRPr="00B13ACF">
        <w:t>szczególności:</w:t>
      </w:r>
      <w:r w:rsidR="00363999" w:rsidRPr="00B13ACF">
        <w:t>:</w:t>
      </w:r>
      <w:proofErr w:type="gramEnd"/>
    </w:p>
    <w:p w14:paraId="43CDCDB0" w14:textId="584C4140" w:rsidR="001A4F67" w:rsidRPr="00B13ACF" w:rsidRDefault="001A4F67" w:rsidP="008A5D94">
      <w:pPr>
        <w:pStyle w:val="Akapitzlist"/>
        <w:spacing w:after="0"/>
        <w:ind w:left="1418" w:hanging="425"/>
        <w:contextualSpacing w:val="0"/>
        <w:jc w:val="both"/>
      </w:pPr>
      <w:r w:rsidRPr="00B13ACF">
        <w:t xml:space="preserve">a) </w:t>
      </w:r>
      <w:r w:rsidR="00363999" w:rsidRPr="00B13ACF">
        <w:t>właściwości przeciwpoślizgowe,</w:t>
      </w:r>
    </w:p>
    <w:p w14:paraId="4958BAA5" w14:textId="77777777" w:rsidR="00363999" w:rsidRPr="00B13ACF" w:rsidRDefault="001A4F67" w:rsidP="008A5D94">
      <w:pPr>
        <w:pStyle w:val="Akapitzlist"/>
        <w:spacing w:after="0"/>
        <w:ind w:left="1418" w:hanging="425"/>
        <w:contextualSpacing w:val="0"/>
        <w:jc w:val="both"/>
      </w:pPr>
      <w:r w:rsidRPr="00B13ACF">
        <w:t xml:space="preserve">b) </w:t>
      </w:r>
      <w:r w:rsidR="00363999" w:rsidRPr="00B13ACF">
        <w:t>równość poprzeczna,</w:t>
      </w:r>
    </w:p>
    <w:p w14:paraId="6BFD2062" w14:textId="77777777" w:rsidR="00363999" w:rsidRPr="00B13ACF" w:rsidRDefault="001A4F67" w:rsidP="008A5D94">
      <w:pPr>
        <w:pStyle w:val="Akapitzlist"/>
        <w:spacing w:after="0"/>
        <w:ind w:left="1418" w:hanging="425"/>
        <w:contextualSpacing w:val="0"/>
        <w:jc w:val="both"/>
      </w:pPr>
      <w:r w:rsidRPr="00B13ACF">
        <w:t xml:space="preserve">c) </w:t>
      </w:r>
      <w:r w:rsidR="00363999" w:rsidRPr="00B13ACF">
        <w:t>równość podłużna,</w:t>
      </w:r>
    </w:p>
    <w:p w14:paraId="68D044A3" w14:textId="77777777" w:rsidR="001A4F67" w:rsidRPr="00B13ACF" w:rsidRDefault="001A4F67" w:rsidP="008A5D94">
      <w:pPr>
        <w:pStyle w:val="Akapitzlist"/>
        <w:spacing w:after="0"/>
        <w:ind w:left="1418" w:hanging="425"/>
        <w:contextualSpacing w:val="0"/>
        <w:jc w:val="both"/>
      </w:pPr>
      <w:r w:rsidRPr="00B13ACF">
        <w:t xml:space="preserve">d) </w:t>
      </w:r>
      <w:r w:rsidR="00363999" w:rsidRPr="00B13ACF">
        <w:t>nośność nawierzchni,</w:t>
      </w:r>
    </w:p>
    <w:p w14:paraId="18E616EE" w14:textId="77777777" w:rsidR="001A4F67" w:rsidRPr="00B13ACF" w:rsidRDefault="001A4F67" w:rsidP="008A5D94">
      <w:pPr>
        <w:pStyle w:val="Akapitzlist"/>
        <w:numPr>
          <w:ilvl w:val="0"/>
          <w:numId w:val="33"/>
        </w:numPr>
        <w:spacing w:after="0"/>
        <w:jc w:val="both"/>
      </w:pPr>
      <w:r w:rsidRPr="00B13ACF">
        <w:t>wszelkie uszkodzenia nawierzchni, w szczególności:</w:t>
      </w:r>
    </w:p>
    <w:p w14:paraId="4E0A69A6" w14:textId="77777777" w:rsidR="00363999" w:rsidRPr="00B13ACF" w:rsidRDefault="00363999" w:rsidP="001A4F67">
      <w:pPr>
        <w:pStyle w:val="Akapitzlist"/>
        <w:numPr>
          <w:ilvl w:val="0"/>
          <w:numId w:val="32"/>
        </w:numPr>
        <w:spacing w:after="0"/>
        <w:ind w:left="1418" w:hanging="425"/>
        <w:contextualSpacing w:val="0"/>
        <w:jc w:val="both"/>
      </w:pPr>
      <w:r w:rsidRPr="00B13ACF">
        <w:t>spękania,</w:t>
      </w:r>
    </w:p>
    <w:p w14:paraId="0083E032" w14:textId="00700853" w:rsidR="00363999" w:rsidRPr="00B13ACF" w:rsidRDefault="00363999" w:rsidP="001A4F67">
      <w:pPr>
        <w:pStyle w:val="Akapitzlist"/>
        <w:numPr>
          <w:ilvl w:val="0"/>
          <w:numId w:val="32"/>
        </w:numPr>
        <w:spacing w:after="0"/>
        <w:ind w:left="1418" w:hanging="425"/>
        <w:contextualSpacing w:val="0"/>
        <w:jc w:val="both"/>
      </w:pPr>
      <w:r w:rsidRPr="00B13ACF">
        <w:t>uszkodzenia powierzch</w:t>
      </w:r>
      <w:r w:rsidR="00CA6889" w:rsidRPr="00B13ACF">
        <w:t>niowe</w:t>
      </w:r>
      <w:r w:rsidRPr="00B13ACF">
        <w:t>.</w:t>
      </w:r>
    </w:p>
    <w:p w14:paraId="5E3C9E4D" w14:textId="4143A4A5" w:rsidR="00363999" w:rsidRPr="00B13ACF" w:rsidRDefault="00363999" w:rsidP="00DB5D3C">
      <w:pPr>
        <w:spacing w:before="80"/>
        <w:ind w:left="1134" w:hanging="1134"/>
        <w:jc w:val="both"/>
      </w:pPr>
      <w:r w:rsidRPr="00B13ACF">
        <w:t>Tabela 2.</w:t>
      </w:r>
      <w:r w:rsidRPr="00B13ACF">
        <w:tab/>
        <w:t xml:space="preserve">Maksymalne dopuszczalne rodzaje uszkodzeń powierzchniowych nawierzchni liczone jako </w:t>
      </w:r>
      <w:r w:rsidR="002B5723" w:rsidRPr="00B13ACF">
        <w:t xml:space="preserve">ilość sztuk lub </w:t>
      </w:r>
      <w:r w:rsidRPr="00B13ACF">
        <w:t>procent powierzchni na 1 km jezdni przed końcem okresu gwarancyjnego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5"/>
        <w:gridCol w:w="1973"/>
      </w:tblGrid>
      <w:tr w:rsidR="00B13ACF" w:rsidRPr="00B13ACF" w14:paraId="6868F248" w14:textId="77777777" w:rsidTr="00BD40BF">
        <w:trPr>
          <w:trHeight w:val="330"/>
          <w:jc w:val="center"/>
        </w:trPr>
        <w:tc>
          <w:tcPr>
            <w:tcW w:w="7025" w:type="dxa"/>
            <w:shd w:val="clear" w:color="auto" w:fill="auto"/>
            <w:vAlign w:val="center"/>
          </w:tcPr>
          <w:p w14:paraId="5691DC65" w14:textId="77777777" w:rsidR="00363999" w:rsidRPr="00B13ACF" w:rsidRDefault="00363999" w:rsidP="00BD40BF">
            <w:pPr>
              <w:spacing w:before="80" w:after="0"/>
              <w:jc w:val="center"/>
              <w:rPr>
                <w:sz w:val="18"/>
              </w:rPr>
            </w:pPr>
            <w:r w:rsidRPr="00B13ACF">
              <w:rPr>
                <w:sz w:val="18"/>
              </w:rPr>
              <w:t>Parametr</w:t>
            </w:r>
          </w:p>
        </w:tc>
        <w:tc>
          <w:tcPr>
            <w:tcW w:w="1973" w:type="dxa"/>
            <w:shd w:val="clear" w:color="auto" w:fill="auto"/>
            <w:vAlign w:val="center"/>
          </w:tcPr>
          <w:p w14:paraId="34C0EDA0" w14:textId="042CB338" w:rsidR="00363999" w:rsidRPr="00B13ACF" w:rsidRDefault="00363999" w:rsidP="00BD40BF">
            <w:pPr>
              <w:spacing w:before="80" w:after="0"/>
              <w:jc w:val="center"/>
              <w:rPr>
                <w:sz w:val="18"/>
              </w:rPr>
            </w:pPr>
            <w:r w:rsidRPr="00B13ACF">
              <w:rPr>
                <w:sz w:val="18"/>
              </w:rPr>
              <w:t xml:space="preserve">Wartość </w:t>
            </w:r>
            <w:r w:rsidR="005E0823" w:rsidRPr="00B13ACF">
              <w:rPr>
                <w:sz w:val="18"/>
              </w:rPr>
              <w:t>na 1 km</w:t>
            </w:r>
          </w:p>
        </w:tc>
      </w:tr>
      <w:tr w:rsidR="00B13ACF" w:rsidRPr="00B13ACF" w14:paraId="271A12D3" w14:textId="77777777" w:rsidTr="00BD40BF">
        <w:trPr>
          <w:trHeight w:val="330"/>
          <w:jc w:val="center"/>
        </w:trPr>
        <w:tc>
          <w:tcPr>
            <w:tcW w:w="7025" w:type="dxa"/>
            <w:shd w:val="clear" w:color="auto" w:fill="auto"/>
          </w:tcPr>
          <w:p w14:paraId="1D23A839" w14:textId="3331BE5B" w:rsidR="00363999" w:rsidRPr="00B13ACF" w:rsidRDefault="00363999" w:rsidP="00CF29A3">
            <w:pPr>
              <w:spacing w:before="80" w:after="0"/>
              <w:jc w:val="both"/>
              <w:rPr>
                <w:sz w:val="18"/>
              </w:rPr>
            </w:pPr>
            <w:r w:rsidRPr="00B13ACF">
              <w:rPr>
                <w:sz w:val="18"/>
              </w:rPr>
              <w:t xml:space="preserve">Spękania </w:t>
            </w:r>
            <w:r w:rsidR="00E233BC" w:rsidRPr="00B13ACF">
              <w:rPr>
                <w:sz w:val="18"/>
              </w:rPr>
              <w:t>termiczne</w:t>
            </w:r>
          </w:p>
        </w:tc>
        <w:tc>
          <w:tcPr>
            <w:tcW w:w="1973" w:type="dxa"/>
            <w:shd w:val="clear" w:color="auto" w:fill="auto"/>
            <w:vAlign w:val="center"/>
          </w:tcPr>
          <w:p w14:paraId="7BF9540B" w14:textId="53680C54" w:rsidR="00363999" w:rsidRPr="00B13ACF" w:rsidRDefault="005E0823" w:rsidP="005E0823">
            <w:pPr>
              <w:spacing w:before="80" w:after="0"/>
              <w:jc w:val="center"/>
              <w:rPr>
                <w:sz w:val="18"/>
              </w:rPr>
            </w:pPr>
            <w:r w:rsidRPr="00B13ACF">
              <w:rPr>
                <w:sz w:val="18"/>
              </w:rPr>
              <w:t xml:space="preserve">5 </w:t>
            </w:r>
            <w:proofErr w:type="spellStart"/>
            <w:r w:rsidRPr="00B13ACF">
              <w:rPr>
                <w:sz w:val="18"/>
              </w:rPr>
              <w:t>szt</w:t>
            </w:r>
            <w:proofErr w:type="spellEnd"/>
          </w:p>
        </w:tc>
      </w:tr>
      <w:tr w:rsidR="00B13ACF" w:rsidRPr="00B13ACF" w14:paraId="1FF5913A" w14:textId="77777777" w:rsidTr="00BD40BF">
        <w:trPr>
          <w:trHeight w:val="315"/>
          <w:jc w:val="center"/>
        </w:trPr>
        <w:tc>
          <w:tcPr>
            <w:tcW w:w="7025" w:type="dxa"/>
            <w:shd w:val="clear" w:color="auto" w:fill="auto"/>
          </w:tcPr>
          <w:p w14:paraId="2E50E0A0" w14:textId="77777777" w:rsidR="00363999" w:rsidRPr="00B13ACF" w:rsidRDefault="00363999" w:rsidP="00BD40BF">
            <w:pPr>
              <w:spacing w:before="80" w:after="0"/>
              <w:jc w:val="both"/>
              <w:rPr>
                <w:sz w:val="18"/>
              </w:rPr>
            </w:pPr>
            <w:r w:rsidRPr="00B13ACF">
              <w:rPr>
                <w:sz w:val="18"/>
              </w:rPr>
              <w:t>Łaty</w:t>
            </w:r>
          </w:p>
        </w:tc>
        <w:tc>
          <w:tcPr>
            <w:tcW w:w="1973" w:type="dxa"/>
            <w:shd w:val="clear" w:color="auto" w:fill="auto"/>
            <w:vAlign w:val="center"/>
          </w:tcPr>
          <w:p w14:paraId="6FC627E6" w14:textId="789CFB69" w:rsidR="00363999" w:rsidRPr="00B13ACF" w:rsidRDefault="00363999" w:rsidP="00BD40BF">
            <w:pPr>
              <w:spacing w:before="80" w:after="0"/>
              <w:jc w:val="center"/>
              <w:rPr>
                <w:sz w:val="18"/>
              </w:rPr>
            </w:pPr>
            <w:r w:rsidRPr="00B13ACF">
              <w:rPr>
                <w:sz w:val="18"/>
              </w:rPr>
              <w:t>≤ 1</w:t>
            </w:r>
            <w:r w:rsidR="00E233BC" w:rsidRPr="00B13ACF">
              <w:rPr>
                <w:sz w:val="18"/>
              </w:rPr>
              <w:t>%</w:t>
            </w:r>
          </w:p>
        </w:tc>
      </w:tr>
    </w:tbl>
    <w:p w14:paraId="1B924481" w14:textId="7E81B84C" w:rsidR="00E233BC" w:rsidRPr="00B13ACF" w:rsidRDefault="00CA6889" w:rsidP="00363999">
      <w:pPr>
        <w:spacing w:before="80" w:after="0"/>
        <w:jc w:val="both"/>
      </w:pPr>
      <w:r w:rsidRPr="00B13ACF">
        <w:t>Nie dopuszcza się występowania spękań siatkowych, skupisk spękań i pęknięć zmęczeniowych w okresie obowiązywania Gwarancji Jakości.</w:t>
      </w:r>
    </w:p>
    <w:p w14:paraId="333EA6A7" w14:textId="472CA6F9" w:rsidR="00EA7018" w:rsidRPr="00B13ACF" w:rsidRDefault="00363999" w:rsidP="00363999">
      <w:pPr>
        <w:spacing w:before="80" w:after="0"/>
        <w:jc w:val="both"/>
      </w:pPr>
      <w:r w:rsidRPr="00B13ACF">
        <w:t>W przypadku przekroczenia wymienionych w tabeli 2 wskaźników, Wykonawca jest zobowiązany przedstawić Zamawiającemu program naprawczy na wymianę całego zakresu nawierzchni z wadami wymienionymi w tabeli.</w:t>
      </w:r>
    </w:p>
    <w:p w14:paraId="170E6A10" w14:textId="77777777" w:rsidR="00EA7018" w:rsidRPr="00B13ACF" w:rsidRDefault="00EA7018">
      <w:pPr>
        <w:spacing w:after="160" w:line="259" w:lineRule="auto"/>
      </w:pPr>
      <w:r w:rsidRPr="00B13ACF">
        <w:br w:type="page"/>
      </w:r>
    </w:p>
    <w:p w14:paraId="058C13D6" w14:textId="77777777" w:rsidR="00363999" w:rsidRPr="00B13ACF" w:rsidRDefault="00363999" w:rsidP="00363999">
      <w:pPr>
        <w:pStyle w:val="Akapitzlist"/>
        <w:numPr>
          <w:ilvl w:val="2"/>
          <w:numId w:val="2"/>
        </w:numPr>
        <w:spacing w:before="80" w:after="0"/>
        <w:ind w:left="709" w:hanging="709"/>
        <w:contextualSpacing w:val="0"/>
        <w:jc w:val="both"/>
      </w:pPr>
      <w:r w:rsidRPr="00B13ACF">
        <w:lastRenderedPageBreak/>
        <w:t>Parametry nawierzchni</w:t>
      </w:r>
    </w:p>
    <w:p w14:paraId="69E1B0F0" w14:textId="41B07FB7" w:rsidR="002B5723" w:rsidRPr="00B13ACF" w:rsidRDefault="00363999" w:rsidP="00363999">
      <w:pPr>
        <w:pStyle w:val="Akapitzlist"/>
        <w:numPr>
          <w:ilvl w:val="3"/>
          <w:numId w:val="2"/>
        </w:numPr>
        <w:spacing w:before="80" w:after="0"/>
        <w:ind w:left="851" w:hanging="851"/>
        <w:contextualSpacing w:val="0"/>
        <w:jc w:val="both"/>
      </w:pPr>
      <w:r w:rsidRPr="00B13ACF">
        <w:t>Właściwości przeciwpoślizgowe (miarodajny współczynnik tarcia)</w:t>
      </w:r>
    </w:p>
    <w:p w14:paraId="2B205670" w14:textId="484BF6DB" w:rsidR="002B5723" w:rsidRPr="00B13ACF" w:rsidRDefault="002B5723" w:rsidP="00EA7018">
      <w:pPr>
        <w:spacing w:after="0" w:line="259" w:lineRule="auto"/>
      </w:pPr>
    </w:p>
    <w:p w14:paraId="124DC9DF" w14:textId="57A6CB4D" w:rsidR="00363999" w:rsidRPr="00B13ACF" w:rsidRDefault="00363999" w:rsidP="00363999">
      <w:pPr>
        <w:spacing w:before="80" w:after="0"/>
        <w:jc w:val="both"/>
      </w:pPr>
      <w:r w:rsidRPr="00B13ACF">
        <w:t>Tabela 3.</w:t>
      </w:r>
      <w:r w:rsidRPr="00B13ACF">
        <w:tab/>
        <w:t>Wymagane wartości miarodajnego współczynnika tarcia</w:t>
      </w:r>
      <w:r w:rsidR="00327107" w:rsidRPr="00B13ACF">
        <w:t xml:space="preserve"> w okresie obowiązywania Gwarancji Jakości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5261"/>
        <w:gridCol w:w="2744"/>
      </w:tblGrid>
      <w:tr w:rsidR="00B13ACF" w:rsidRPr="00B13ACF" w14:paraId="34FBFBF5" w14:textId="77777777" w:rsidTr="00757391">
        <w:trPr>
          <w:trHeight w:val="552"/>
          <w:jc w:val="center"/>
        </w:trPr>
        <w:tc>
          <w:tcPr>
            <w:tcW w:w="1057" w:type="dxa"/>
            <w:shd w:val="clear" w:color="auto" w:fill="auto"/>
            <w:vAlign w:val="center"/>
          </w:tcPr>
          <w:p w14:paraId="4D462BF4" w14:textId="77777777" w:rsidR="00363999" w:rsidRPr="00B13ACF" w:rsidRDefault="00363999" w:rsidP="00BD40BF">
            <w:pPr>
              <w:spacing w:before="80" w:after="0"/>
              <w:jc w:val="center"/>
              <w:rPr>
                <w:sz w:val="18"/>
              </w:rPr>
            </w:pPr>
            <w:r w:rsidRPr="00B13ACF">
              <w:rPr>
                <w:sz w:val="18"/>
              </w:rPr>
              <w:t>Klasa drogi</w:t>
            </w:r>
          </w:p>
        </w:tc>
        <w:tc>
          <w:tcPr>
            <w:tcW w:w="5261" w:type="dxa"/>
            <w:shd w:val="clear" w:color="auto" w:fill="auto"/>
            <w:vAlign w:val="center"/>
          </w:tcPr>
          <w:p w14:paraId="18111579" w14:textId="77777777" w:rsidR="00363999" w:rsidRPr="00B13ACF" w:rsidRDefault="00363999" w:rsidP="00BD40BF">
            <w:pPr>
              <w:spacing w:before="80" w:after="0"/>
              <w:jc w:val="center"/>
              <w:rPr>
                <w:sz w:val="18"/>
              </w:rPr>
            </w:pPr>
            <w:r w:rsidRPr="00B13ACF">
              <w:rPr>
                <w:sz w:val="18"/>
              </w:rPr>
              <w:t>Element nawierzchni</w:t>
            </w:r>
          </w:p>
        </w:tc>
        <w:tc>
          <w:tcPr>
            <w:tcW w:w="2744" w:type="dxa"/>
            <w:shd w:val="clear" w:color="auto" w:fill="auto"/>
            <w:vAlign w:val="center"/>
          </w:tcPr>
          <w:p w14:paraId="627170A9" w14:textId="77777777" w:rsidR="00363999" w:rsidRPr="00B13ACF" w:rsidRDefault="00363999" w:rsidP="00BD40BF">
            <w:pPr>
              <w:spacing w:before="80" w:after="0"/>
              <w:jc w:val="center"/>
              <w:rPr>
                <w:sz w:val="18"/>
              </w:rPr>
            </w:pPr>
            <w:r w:rsidRPr="00B13ACF">
              <w:rPr>
                <w:sz w:val="18"/>
              </w:rPr>
              <w:t>Miarodajny współczynnik tarcia*</w:t>
            </w:r>
          </w:p>
        </w:tc>
      </w:tr>
      <w:tr w:rsidR="00B13ACF" w:rsidRPr="00B13ACF" w14:paraId="3B0FFDF9" w14:textId="77777777" w:rsidTr="00757391">
        <w:trPr>
          <w:trHeight w:val="297"/>
          <w:jc w:val="center"/>
        </w:trPr>
        <w:tc>
          <w:tcPr>
            <w:tcW w:w="1057" w:type="dxa"/>
            <w:vMerge w:val="restart"/>
            <w:shd w:val="clear" w:color="auto" w:fill="auto"/>
            <w:vAlign w:val="center"/>
          </w:tcPr>
          <w:p w14:paraId="41FDA372" w14:textId="77777777" w:rsidR="00363999" w:rsidRPr="00B13ACF" w:rsidRDefault="00363999" w:rsidP="00BD40BF">
            <w:pPr>
              <w:spacing w:before="80" w:after="0"/>
              <w:jc w:val="center"/>
              <w:rPr>
                <w:sz w:val="18"/>
              </w:rPr>
            </w:pPr>
            <w:r w:rsidRPr="00B13ACF">
              <w:rPr>
                <w:sz w:val="18"/>
              </w:rPr>
              <w:t>A, S</w:t>
            </w:r>
          </w:p>
        </w:tc>
        <w:tc>
          <w:tcPr>
            <w:tcW w:w="5261" w:type="dxa"/>
            <w:shd w:val="clear" w:color="auto" w:fill="auto"/>
            <w:vAlign w:val="center"/>
          </w:tcPr>
          <w:p w14:paraId="3A742428" w14:textId="77777777" w:rsidR="00363999" w:rsidRPr="00B13ACF" w:rsidRDefault="00363999" w:rsidP="00BD40BF">
            <w:pPr>
              <w:spacing w:before="80" w:after="0"/>
              <w:rPr>
                <w:sz w:val="18"/>
              </w:rPr>
            </w:pPr>
            <w:r w:rsidRPr="00B13ACF">
              <w:rPr>
                <w:sz w:val="18"/>
              </w:rPr>
              <w:t>Pasy ruchu zasadnicze, dodatkowe, awaryjne</w:t>
            </w:r>
          </w:p>
        </w:tc>
        <w:tc>
          <w:tcPr>
            <w:tcW w:w="2744" w:type="dxa"/>
            <w:shd w:val="clear" w:color="auto" w:fill="auto"/>
            <w:vAlign w:val="center"/>
          </w:tcPr>
          <w:p w14:paraId="149BE0E9" w14:textId="77777777" w:rsidR="00363999" w:rsidRPr="00B13ACF" w:rsidRDefault="00363999" w:rsidP="00BD40BF">
            <w:pPr>
              <w:spacing w:before="80" w:after="0"/>
              <w:jc w:val="center"/>
              <w:rPr>
                <w:sz w:val="18"/>
              </w:rPr>
            </w:pPr>
            <w:r w:rsidRPr="00B13ACF">
              <w:rPr>
                <w:sz w:val="18"/>
              </w:rPr>
              <w:t>≥ 0,40</w:t>
            </w:r>
          </w:p>
        </w:tc>
      </w:tr>
      <w:tr w:rsidR="00B13ACF" w:rsidRPr="00B13ACF" w14:paraId="75C27023" w14:textId="77777777" w:rsidTr="00757391">
        <w:trPr>
          <w:trHeight w:val="325"/>
          <w:jc w:val="center"/>
        </w:trPr>
        <w:tc>
          <w:tcPr>
            <w:tcW w:w="1057" w:type="dxa"/>
            <w:vMerge/>
            <w:shd w:val="clear" w:color="auto" w:fill="auto"/>
            <w:vAlign w:val="center"/>
          </w:tcPr>
          <w:p w14:paraId="6F8EFD31" w14:textId="77777777" w:rsidR="00363999" w:rsidRPr="00B13ACF" w:rsidRDefault="00363999" w:rsidP="00BD40BF">
            <w:pPr>
              <w:spacing w:before="80" w:after="0"/>
              <w:jc w:val="center"/>
              <w:rPr>
                <w:sz w:val="18"/>
              </w:rPr>
            </w:pPr>
          </w:p>
        </w:tc>
        <w:tc>
          <w:tcPr>
            <w:tcW w:w="5261" w:type="dxa"/>
            <w:shd w:val="clear" w:color="auto" w:fill="auto"/>
            <w:vAlign w:val="center"/>
          </w:tcPr>
          <w:p w14:paraId="5B94226E" w14:textId="3BB381DE" w:rsidR="00363999" w:rsidRPr="00B13ACF" w:rsidRDefault="00363999" w:rsidP="00BD40BF">
            <w:pPr>
              <w:spacing w:before="80" w:after="0"/>
              <w:rPr>
                <w:sz w:val="18"/>
                <w:vertAlign w:val="superscript"/>
              </w:rPr>
            </w:pPr>
            <w:r w:rsidRPr="00B13ACF">
              <w:rPr>
                <w:sz w:val="18"/>
              </w:rPr>
              <w:t>Pasy włączania i wyłączania, jezdnie łącznic</w:t>
            </w:r>
            <w:r w:rsidR="003E4E32" w:rsidRPr="00B13ACF">
              <w:rPr>
                <w:sz w:val="18"/>
              </w:rPr>
              <w:t>**</w:t>
            </w:r>
          </w:p>
        </w:tc>
        <w:tc>
          <w:tcPr>
            <w:tcW w:w="2744" w:type="dxa"/>
            <w:shd w:val="clear" w:color="auto" w:fill="auto"/>
            <w:vAlign w:val="center"/>
          </w:tcPr>
          <w:p w14:paraId="5CF9C9E0" w14:textId="77777777" w:rsidR="00363999" w:rsidRPr="00B13ACF" w:rsidRDefault="00363999" w:rsidP="00BD40BF">
            <w:pPr>
              <w:spacing w:before="80" w:after="0"/>
              <w:jc w:val="center"/>
              <w:rPr>
                <w:sz w:val="18"/>
              </w:rPr>
            </w:pPr>
            <w:r w:rsidRPr="00B13ACF">
              <w:rPr>
                <w:sz w:val="18"/>
              </w:rPr>
              <w:t>≥ 0,42</w:t>
            </w:r>
          </w:p>
        </w:tc>
      </w:tr>
      <w:tr w:rsidR="00B13ACF" w:rsidRPr="00B13ACF" w14:paraId="313D9F20" w14:textId="77777777" w:rsidTr="00757391">
        <w:trPr>
          <w:trHeight w:val="311"/>
          <w:jc w:val="center"/>
        </w:trPr>
        <w:tc>
          <w:tcPr>
            <w:tcW w:w="1057" w:type="dxa"/>
            <w:shd w:val="clear" w:color="auto" w:fill="auto"/>
            <w:vAlign w:val="center"/>
          </w:tcPr>
          <w:p w14:paraId="3F54DFC8" w14:textId="77777777" w:rsidR="00363999" w:rsidRPr="00B13ACF" w:rsidRDefault="00363999" w:rsidP="00BD40BF">
            <w:pPr>
              <w:spacing w:before="80" w:after="0"/>
              <w:jc w:val="center"/>
              <w:rPr>
                <w:sz w:val="18"/>
              </w:rPr>
            </w:pPr>
            <w:r w:rsidRPr="00B13ACF">
              <w:rPr>
                <w:sz w:val="18"/>
              </w:rPr>
              <w:t>GP, G</w:t>
            </w:r>
          </w:p>
        </w:tc>
        <w:tc>
          <w:tcPr>
            <w:tcW w:w="5261" w:type="dxa"/>
            <w:shd w:val="clear" w:color="auto" w:fill="auto"/>
            <w:vAlign w:val="center"/>
          </w:tcPr>
          <w:p w14:paraId="3619D93E" w14:textId="77777777" w:rsidR="00363999" w:rsidRPr="00B13ACF" w:rsidRDefault="00363999" w:rsidP="00BD40BF">
            <w:pPr>
              <w:spacing w:before="80" w:after="0"/>
              <w:rPr>
                <w:sz w:val="18"/>
              </w:rPr>
            </w:pPr>
            <w:r w:rsidRPr="00B13ACF">
              <w:rPr>
                <w:sz w:val="18"/>
              </w:rPr>
              <w:t>Pasy ruchu, pasy dodatkowe, utwardzone pobocza</w:t>
            </w:r>
          </w:p>
        </w:tc>
        <w:tc>
          <w:tcPr>
            <w:tcW w:w="2744" w:type="dxa"/>
            <w:shd w:val="clear" w:color="auto" w:fill="auto"/>
            <w:vAlign w:val="center"/>
          </w:tcPr>
          <w:p w14:paraId="18AFF458" w14:textId="77777777" w:rsidR="00363999" w:rsidRPr="00B13ACF" w:rsidRDefault="00363999" w:rsidP="00BD40BF">
            <w:pPr>
              <w:spacing w:before="80" w:after="0"/>
              <w:jc w:val="center"/>
              <w:rPr>
                <w:sz w:val="18"/>
              </w:rPr>
            </w:pPr>
            <w:r w:rsidRPr="00B13ACF">
              <w:rPr>
                <w:sz w:val="18"/>
              </w:rPr>
              <w:t>≥ 0,36</w:t>
            </w:r>
          </w:p>
        </w:tc>
      </w:tr>
    </w:tbl>
    <w:p w14:paraId="240E4939" w14:textId="166065E7" w:rsidR="00363999" w:rsidRPr="00B13ACF" w:rsidRDefault="00757391" w:rsidP="00363999">
      <w:pPr>
        <w:tabs>
          <w:tab w:val="left" w:pos="426"/>
        </w:tabs>
        <w:spacing w:after="0"/>
        <w:jc w:val="both"/>
        <w:rPr>
          <w:sz w:val="16"/>
        </w:rPr>
      </w:pPr>
      <w:r w:rsidRPr="00B13ACF">
        <w:rPr>
          <w:sz w:val="18"/>
        </w:rPr>
        <w:t>*</w:t>
      </w:r>
      <w:r w:rsidR="00363999" w:rsidRPr="00B13ACF">
        <w:tab/>
      </w:r>
      <w:r w:rsidR="00363999" w:rsidRPr="00B13ACF">
        <w:rPr>
          <w:i/>
          <w:sz w:val="16"/>
        </w:rPr>
        <w:t>podane wartości odnoszą się do miarodajnego współczynnika tarcia</w:t>
      </w:r>
      <w:r w:rsidR="00363999" w:rsidRPr="00B13ACF">
        <w:rPr>
          <w:rStyle w:val="Odwoanieprzypisudolnego"/>
          <w:i/>
          <w:sz w:val="16"/>
        </w:rPr>
        <w:footnoteReference w:id="1"/>
      </w:r>
      <w:r w:rsidR="00363999" w:rsidRPr="00B13ACF">
        <w:rPr>
          <w:i/>
          <w:sz w:val="16"/>
        </w:rPr>
        <w:t xml:space="preserve"> pomierzonego oponą PIARC 165/15R przy prędkości 60 km/h</w:t>
      </w:r>
      <w:r w:rsidR="00363999" w:rsidRPr="00B13ACF">
        <w:rPr>
          <w:sz w:val="16"/>
        </w:rPr>
        <w:t>.</w:t>
      </w:r>
    </w:p>
    <w:p w14:paraId="5CBD6063" w14:textId="00C3C948" w:rsidR="00E233BC" w:rsidRPr="00B13ACF" w:rsidRDefault="003E4E32" w:rsidP="00363999">
      <w:pPr>
        <w:tabs>
          <w:tab w:val="left" w:pos="426"/>
        </w:tabs>
        <w:spacing w:after="0"/>
        <w:jc w:val="both"/>
        <w:rPr>
          <w:sz w:val="16"/>
          <w:szCs w:val="16"/>
        </w:rPr>
      </w:pPr>
      <w:r w:rsidRPr="00B13ACF">
        <w:rPr>
          <w:sz w:val="18"/>
        </w:rPr>
        <w:t>**</w:t>
      </w:r>
      <w:r w:rsidR="00757391" w:rsidRPr="00B13ACF">
        <w:rPr>
          <w:sz w:val="16"/>
          <w:szCs w:val="16"/>
        </w:rPr>
        <w:tab/>
      </w:r>
      <w:r w:rsidR="00E233BC" w:rsidRPr="00B13ACF">
        <w:rPr>
          <w:i/>
          <w:sz w:val="16"/>
          <w:szCs w:val="16"/>
        </w:rPr>
        <w:t>dopuszcza się pomiar przy 30km/h, wówczas wymagania należy odpowiednio przeliczyć</w:t>
      </w:r>
    </w:p>
    <w:p w14:paraId="531BC4D5" w14:textId="77777777" w:rsidR="00363999" w:rsidRPr="00B13ACF" w:rsidRDefault="00363999" w:rsidP="00363999">
      <w:pPr>
        <w:spacing w:before="80" w:after="0"/>
        <w:jc w:val="both"/>
      </w:pPr>
      <w:r w:rsidRPr="00B13ACF">
        <w:t>W tabeli 3 podano minimalne dopuszczalne wartości wskaźnika, poniżej których należy zastosować program naprawczy.</w:t>
      </w:r>
    </w:p>
    <w:p w14:paraId="6B5AF0E6" w14:textId="248556FC" w:rsidR="00363999" w:rsidRPr="00B13ACF" w:rsidRDefault="00363999" w:rsidP="00363999">
      <w:pPr>
        <w:spacing w:before="80" w:after="0"/>
        <w:jc w:val="both"/>
      </w:pPr>
      <w:r w:rsidRPr="00B13ACF">
        <w:t xml:space="preserve">W przypadku Wady polegającej na nieuzyskaniu w trakcie badań odbiorowych wymaganego współczynnika tarcia nawierzchni poprzez usunięcie Wady rozumie się uzyskanie podczas ponownych pomiarów przeprowadzonych w okresie do 10 miesięcy od daty dopuszczenia odcinka do użytkowania wyników spełniających wymagania obowiązujących przepisów i wymagania Zamawiającego określone w </w:t>
      </w:r>
      <w:proofErr w:type="spellStart"/>
      <w:r w:rsidR="00CA6889" w:rsidRPr="00B13ACF">
        <w:t>STWiORB</w:t>
      </w:r>
      <w:proofErr w:type="spellEnd"/>
      <w:r w:rsidRPr="00B13ACF">
        <w:t>. Miarodajny współczynnik tarcia wyznacza się dla kilometrowych odcinków dróg. W przypadkach szczególnych, jak początek i koniec drogi, wartość miarodajną wyznacza się dla odcinków o długości 500 ÷ 1499 m.</w:t>
      </w:r>
    </w:p>
    <w:p w14:paraId="1AD89960" w14:textId="77777777" w:rsidR="00363999" w:rsidRPr="00B13ACF" w:rsidRDefault="00363999" w:rsidP="00363999">
      <w:pPr>
        <w:spacing w:before="80" w:after="0"/>
        <w:jc w:val="both"/>
      </w:pPr>
      <w:r w:rsidRPr="00B13ACF">
        <w:t>Pomiar współczynnika tarcia powinien być określony na mokrej nawierzchni przy całkowitym poślizgu opony testowej. Pomiar wykonuje się w śladzie prawego lub lewego koła nie rzadziej niż co 50 m na nawierzchni zwilżanej wodą w ilości 0,5 l/m2, przy 100% poślizgu opony testowej rowkowanej (</w:t>
      </w:r>
      <w:proofErr w:type="spellStart"/>
      <w:r w:rsidRPr="00B13ACF">
        <w:t>ribbed</w:t>
      </w:r>
      <w:proofErr w:type="spellEnd"/>
      <w:r w:rsidRPr="00B13ACF">
        <w:t xml:space="preserve"> </w:t>
      </w:r>
      <w:proofErr w:type="spellStart"/>
      <w:r w:rsidRPr="00B13ACF">
        <w:t>tyre</w:t>
      </w:r>
      <w:proofErr w:type="spellEnd"/>
      <w:r w:rsidRPr="00B13ACF">
        <w:t xml:space="preserve">) rozmiaru 165 R 15 - zalecanej przez World Road </w:t>
      </w:r>
      <w:proofErr w:type="spellStart"/>
      <w:r w:rsidRPr="00B13ACF">
        <w:t>Association</w:t>
      </w:r>
      <w:proofErr w:type="spellEnd"/>
      <w:r w:rsidRPr="00B13ACF">
        <w:t xml:space="preserve"> PIARC, lub za pomocą innej wiarygodnej metody równoważnej, jeśli dysponuje się sprawdzoną zależnością korelacyjną umożliwiającą przeliczenie wyników pomiarów. Pomiary powinny być wykonywane w temperaturze otoczenia od 5ºC do 30ºC, na czystej nawierzchni.</w:t>
      </w:r>
    </w:p>
    <w:p w14:paraId="0280A80F" w14:textId="77777777" w:rsidR="00363999" w:rsidRPr="00B13ACF" w:rsidRDefault="00363999" w:rsidP="00EA7018">
      <w:pPr>
        <w:spacing w:after="0"/>
        <w:jc w:val="both"/>
      </w:pPr>
    </w:p>
    <w:p w14:paraId="1CBBF30F" w14:textId="77777777" w:rsidR="00363999" w:rsidRPr="00B13ACF" w:rsidRDefault="00363999" w:rsidP="00363999">
      <w:pPr>
        <w:pStyle w:val="Akapitzlist"/>
        <w:numPr>
          <w:ilvl w:val="3"/>
          <w:numId w:val="2"/>
        </w:numPr>
        <w:spacing w:before="80" w:after="0"/>
        <w:ind w:left="851" w:hanging="851"/>
        <w:contextualSpacing w:val="0"/>
        <w:jc w:val="both"/>
      </w:pPr>
      <w:r w:rsidRPr="00B13ACF">
        <w:t>Równość poprzeczna</w:t>
      </w:r>
    </w:p>
    <w:p w14:paraId="71685559" w14:textId="77777777" w:rsidR="00363999" w:rsidRPr="00B13ACF" w:rsidRDefault="00363999" w:rsidP="00363999">
      <w:pPr>
        <w:tabs>
          <w:tab w:val="left" w:pos="1134"/>
        </w:tabs>
        <w:spacing w:before="80" w:after="0"/>
        <w:jc w:val="both"/>
      </w:pPr>
      <w:r w:rsidRPr="00B13ACF">
        <w:t>Tabela 4.</w:t>
      </w:r>
      <w:r w:rsidRPr="00B13ACF">
        <w:tab/>
        <w:t xml:space="preserve">Wymagane wartości głębokości koleiny </w:t>
      </w:r>
      <w:r w:rsidR="00327107" w:rsidRPr="00B13ACF">
        <w:t>w okresie obowiązywania Gwarancji Jakości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3873"/>
        <w:gridCol w:w="3625"/>
      </w:tblGrid>
      <w:tr w:rsidR="00B13ACF" w:rsidRPr="00B13ACF" w14:paraId="6E987560" w14:textId="77777777" w:rsidTr="00BD40BF">
        <w:trPr>
          <w:trHeight w:val="689"/>
          <w:jc w:val="center"/>
        </w:trPr>
        <w:tc>
          <w:tcPr>
            <w:tcW w:w="1492" w:type="dxa"/>
            <w:shd w:val="clear" w:color="auto" w:fill="auto"/>
            <w:vAlign w:val="center"/>
          </w:tcPr>
          <w:p w14:paraId="4A9F3270" w14:textId="77777777" w:rsidR="00363999" w:rsidRPr="00B13ACF" w:rsidRDefault="00363999" w:rsidP="00BD40BF">
            <w:pPr>
              <w:spacing w:before="80" w:after="0"/>
              <w:jc w:val="center"/>
              <w:rPr>
                <w:sz w:val="18"/>
              </w:rPr>
            </w:pPr>
            <w:r w:rsidRPr="00B13ACF">
              <w:rPr>
                <w:sz w:val="18"/>
              </w:rPr>
              <w:t>Klasa drogi</w:t>
            </w:r>
          </w:p>
        </w:tc>
        <w:tc>
          <w:tcPr>
            <w:tcW w:w="3873" w:type="dxa"/>
            <w:shd w:val="clear" w:color="auto" w:fill="auto"/>
            <w:vAlign w:val="center"/>
          </w:tcPr>
          <w:p w14:paraId="585EDD4F" w14:textId="77777777" w:rsidR="00363999" w:rsidRPr="00B13ACF" w:rsidRDefault="00363999" w:rsidP="00BD40BF">
            <w:pPr>
              <w:spacing w:before="80" w:after="0"/>
              <w:jc w:val="center"/>
              <w:rPr>
                <w:sz w:val="18"/>
              </w:rPr>
            </w:pPr>
            <w:r w:rsidRPr="00B13ACF">
              <w:rPr>
                <w:sz w:val="18"/>
              </w:rPr>
              <w:t xml:space="preserve">Miarodajna głębokość koleiny wyznaczona dla 50 m odcinka drogi </w:t>
            </w:r>
            <w:proofErr w:type="spellStart"/>
            <w:r w:rsidRPr="00B13ACF">
              <w:rPr>
                <w:sz w:val="18"/>
              </w:rPr>
              <w:t>H</w:t>
            </w:r>
            <w:r w:rsidRPr="00B13ACF">
              <w:rPr>
                <w:sz w:val="18"/>
                <w:vertAlign w:val="subscript"/>
              </w:rPr>
              <w:t>m</w:t>
            </w:r>
            <w:proofErr w:type="spellEnd"/>
            <w:r w:rsidRPr="00B13ACF">
              <w:rPr>
                <w:sz w:val="18"/>
              </w:rPr>
              <w:t>, [mm]</w:t>
            </w:r>
          </w:p>
        </w:tc>
        <w:tc>
          <w:tcPr>
            <w:tcW w:w="3625" w:type="dxa"/>
            <w:vAlign w:val="center"/>
          </w:tcPr>
          <w:p w14:paraId="4A5D0BBF" w14:textId="77777777" w:rsidR="00363999" w:rsidRPr="00B13ACF" w:rsidRDefault="00363999" w:rsidP="00BD40BF">
            <w:pPr>
              <w:spacing w:before="80" w:after="0"/>
              <w:jc w:val="center"/>
              <w:rPr>
                <w:sz w:val="18"/>
              </w:rPr>
            </w:pPr>
            <w:r w:rsidRPr="00B13ACF">
              <w:rPr>
                <w:sz w:val="18"/>
              </w:rPr>
              <w:t>Maksymalna głębokość koleiny [mm]</w:t>
            </w:r>
          </w:p>
        </w:tc>
      </w:tr>
      <w:tr w:rsidR="00B13ACF" w:rsidRPr="00B13ACF" w14:paraId="5B8DD407" w14:textId="77777777" w:rsidTr="00BD40BF">
        <w:trPr>
          <w:trHeight w:val="275"/>
          <w:jc w:val="center"/>
        </w:trPr>
        <w:tc>
          <w:tcPr>
            <w:tcW w:w="1492" w:type="dxa"/>
            <w:shd w:val="clear" w:color="auto" w:fill="auto"/>
            <w:vAlign w:val="center"/>
          </w:tcPr>
          <w:p w14:paraId="69DBDFA8" w14:textId="77777777" w:rsidR="00363999" w:rsidRPr="00B13ACF" w:rsidRDefault="00363999" w:rsidP="00BD40BF">
            <w:pPr>
              <w:spacing w:before="80" w:after="0"/>
              <w:jc w:val="center"/>
              <w:rPr>
                <w:sz w:val="18"/>
              </w:rPr>
            </w:pPr>
            <w:r w:rsidRPr="00B13ACF">
              <w:rPr>
                <w:sz w:val="18"/>
              </w:rPr>
              <w:t>A, S, GP, G</w:t>
            </w:r>
          </w:p>
        </w:tc>
        <w:tc>
          <w:tcPr>
            <w:tcW w:w="3873" w:type="dxa"/>
            <w:shd w:val="clear" w:color="auto" w:fill="auto"/>
            <w:vAlign w:val="center"/>
          </w:tcPr>
          <w:p w14:paraId="33200C92" w14:textId="77777777" w:rsidR="00363999" w:rsidRPr="00B13ACF" w:rsidRDefault="00363999" w:rsidP="00BD40BF">
            <w:pPr>
              <w:spacing w:before="80" w:after="0"/>
              <w:jc w:val="center"/>
              <w:rPr>
                <w:sz w:val="18"/>
              </w:rPr>
            </w:pPr>
            <w:r w:rsidRPr="00B13ACF">
              <w:rPr>
                <w:sz w:val="18"/>
              </w:rPr>
              <w:t>≤ 10</w:t>
            </w:r>
          </w:p>
        </w:tc>
        <w:tc>
          <w:tcPr>
            <w:tcW w:w="3625" w:type="dxa"/>
            <w:vAlign w:val="center"/>
          </w:tcPr>
          <w:p w14:paraId="6F8EFD06" w14:textId="35F7B5EB" w:rsidR="00363999" w:rsidRPr="00B13ACF" w:rsidRDefault="00363999" w:rsidP="00673143">
            <w:pPr>
              <w:spacing w:before="80" w:after="0"/>
              <w:jc w:val="center"/>
              <w:rPr>
                <w:sz w:val="18"/>
              </w:rPr>
            </w:pPr>
            <w:r w:rsidRPr="00B13ACF">
              <w:rPr>
                <w:sz w:val="18"/>
              </w:rPr>
              <w:t xml:space="preserve">≤ </w:t>
            </w:r>
            <w:r w:rsidR="00673143" w:rsidRPr="00B13ACF">
              <w:rPr>
                <w:sz w:val="18"/>
              </w:rPr>
              <w:t>6</w:t>
            </w:r>
          </w:p>
        </w:tc>
      </w:tr>
    </w:tbl>
    <w:p w14:paraId="6B0BEC54" w14:textId="77777777" w:rsidR="00363999" w:rsidRPr="00B13ACF" w:rsidRDefault="00363999" w:rsidP="00363999">
      <w:pPr>
        <w:spacing w:before="80" w:after="0"/>
        <w:jc w:val="both"/>
      </w:pPr>
      <w:r w:rsidRPr="00B13ACF">
        <w:t>W tabeli 4 podano maksymalną dopuszczalną głębokość koleiny, powyżej której należy zastosować program naprawczy.</w:t>
      </w:r>
    </w:p>
    <w:p w14:paraId="43763FE9" w14:textId="544DAFF8" w:rsidR="00363999" w:rsidRPr="00B13ACF" w:rsidRDefault="00363999" w:rsidP="00363999">
      <w:pPr>
        <w:pStyle w:val="Akapitzlist"/>
        <w:numPr>
          <w:ilvl w:val="0"/>
          <w:numId w:val="1"/>
        </w:numPr>
        <w:spacing w:before="80" w:after="0"/>
        <w:ind w:left="284" w:hanging="284"/>
        <w:contextualSpacing w:val="0"/>
        <w:jc w:val="both"/>
      </w:pPr>
      <w:r w:rsidRPr="00B13ACF">
        <w:rPr>
          <w:u w:val="single"/>
        </w:rPr>
        <w:t>Miarodajna głębokość koleiny</w:t>
      </w:r>
      <w:r w:rsidRPr="00B13ACF">
        <w:t xml:space="preserve"> wyznaczona dla 50 m odcinka drogi – jest równa sumie wartości średniej E[h] i dwóch odchyleń standardowych </w:t>
      </w:r>
      <w:proofErr w:type="spellStart"/>
      <w:r w:rsidRPr="00B13ACF">
        <w:t>D</w:t>
      </w:r>
      <w:r w:rsidRPr="00B13ACF">
        <w:rPr>
          <w:vertAlign w:val="subscript"/>
        </w:rPr>
        <w:t>h</w:t>
      </w:r>
      <w:proofErr w:type="spellEnd"/>
      <w:r w:rsidRPr="00B13ACF">
        <w:t xml:space="preserve">, które oblicza się dla zbioru </w:t>
      </w:r>
      <w:r w:rsidRPr="00B13ACF">
        <w:lastRenderedPageBreak/>
        <w:t xml:space="preserve">50 wyników z automatycznego pomiaru głębokości koleiny z ustalonym krokiem pomiarowym (h) równym 1 m i oblicza się </w:t>
      </w:r>
      <w:r w:rsidR="00DC11E3" w:rsidRPr="00B13ACF">
        <w:t>wg poniższego wzoru:</w:t>
      </w:r>
    </w:p>
    <w:p w14:paraId="2A7EAEFA" w14:textId="77777777" w:rsidR="00363999" w:rsidRPr="00B13ACF" w:rsidRDefault="00363999" w:rsidP="00363999">
      <w:pPr>
        <w:spacing w:before="80" w:after="0"/>
        <w:jc w:val="center"/>
      </w:pPr>
      <w:proofErr w:type="spellStart"/>
      <w:r w:rsidRPr="00B13ACF">
        <w:t>H</w:t>
      </w:r>
      <w:r w:rsidRPr="00B13ACF">
        <w:rPr>
          <w:vertAlign w:val="subscript"/>
        </w:rPr>
        <w:t>m</w:t>
      </w:r>
      <w:proofErr w:type="spellEnd"/>
      <w:r w:rsidRPr="00B13ACF">
        <w:t xml:space="preserve"> = E[h] + 2D</w:t>
      </w:r>
      <w:r w:rsidRPr="00B13ACF">
        <w:rPr>
          <w:vertAlign w:val="subscript"/>
        </w:rPr>
        <w:t>h</w:t>
      </w:r>
    </w:p>
    <w:p w14:paraId="590B84C9" w14:textId="77777777" w:rsidR="00363999" w:rsidRPr="00B13ACF" w:rsidRDefault="00363999" w:rsidP="00363999">
      <w:pPr>
        <w:spacing w:after="0"/>
        <w:ind w:left="284"/>
        <w:jc w:val="both"/>
      </w:pPr>
      <w:r w:rsidRPr="00B13ACF">
        <w:t>gdzie:</w:t>
      </w:r>
    </w:p>
    <w:p w14:paraId="29F1F64D" w14:textId="77777777" w:rsidR="00363999" w:rsidRPr="00B13ACF" w:rsidRDefault="00363999" w:rsidP="00363999">
      <w:pPr>
        <w:tabs>
          <w:tab w:val="left" w:pos="993"/>
        </w:tabs>
        <w:spacing w:after="0"/>
        <w:ind w:left="284"/>
      </w:pPr>
      <w:proofErr w:type="spellStart"/>
      <w:r w:rsidRPr="00B13ACF">
        <w:t>H</w:t>
      </w:r>
      <w:r w:rsidRPr="00B13ACF">
        <w:rPr>
          <w:vertAlign w:val="subscript"/>
        </w:rPr>
        <w:t>m</w:t>
      </w:r>
      <w:proofErr w:type="spellEnd"/>
      <w:r w:rsidRPr="00B13ACF">
        <w:tab/>
        <w:t>miarodajna głębokość koleiny dla odcinka 50 metrowego</w:t>
      </w:r>
    </w:p>
    <w:p w14:paraId="4282B54C" w14:textId="77777777" w:rsidR="00363999" w:rsidRPr="00B13ACF" w:rsidRDefault="00363999" w:rsidP="00363999">
      <w:pPr>
        <w:tabs>
          <w:tab w:val="left" w:pos="993"/>
        </w:tabs>
        <w:spacing w:after="0"/>
        <w:ind w:left="993" w:hanging="709"/>
      </w:pPr>
      <w:r w:rsidRPr="00B13ACF">
        <w:t>E[h]</w:t>
      </w:r>
      <w:r w:rsidRPr="00B13ACF">
        <w:tab/>
        <w:t>wartość średnia z n pojedynczych pomiarów dla ustalonego kroku pomiarowego h</w:t>
      </w:r>
    </w:p>
    <w:p w14:paraId="2B720FD5" w14:textId="7DD30C3D" w:rsidR="00363999" w:rsidRPr="00B13ACF" w:rsidRDefault="00363999" w:rsidP="00363999">
      <w:pPr>
        <w:tabs>
          <w:tab w:val="left" w:pos="993"/>
        </w:tabs>
        <w:spacing w:after="0"/>
        <w:ind w:left="284"/>
      </w:pPr>
      <w:proofErr w:type="spellStart"/>
      <w:r w:rsidRPr="00B13ACF">
        <w:t>D</w:t>
      </w:r>
      <w:r w:rsidRPr="00B13ACF">
        <w:rPr>
          <w:vertAlign w:val="subscript"/>
        </w:rPr>
        <w:t>h</w:t>
      </w:r>
      <w:proofErr w:type="spellEnd"/>
      <w:r w:rsidRPr="00B13ACF">
        <w:tab/>
        <w:t>odchylenie standardowe dla odcinka 50 metrowego</w:t>
      </w:r>
    </w:p>
    <w:p w14:paraId="2489689D" w14:textId="77777777" w:rsidR="00DB5D3C" w:rsidRPr="00B13ACF" w:rsidRDefault="00DB5D3C" w:rsidP="00363999">
      <w:pPr>
        <w:tabs>
          <w:tab w:val="left" w:pos="993"/>
        </w:tabs>
        <w:spacing w:after="0"/>
        <w:ind w:left="284"/>
      </w:pPr>
    </w:p>
    <w:p w14:paraId="51D63572" w14:textId="77777777" w:rsidR="00363999" w:rsidRDefault="00363999" w:rsidP="00363999">
      <w:pPr>
        <w:pStyle w:val="Akapitzlist"/>
        <w:numPr>
          <w:ilvl w:val="3"/>
          <w:numId w:val="2"/>
        </w:numPr>
        <w:spacing w:before="80" w:after="0"/>
        <w:ind w:left="851" w:hanging="851"/>
        <w:contextualSpacing w:val="0"/>
        <w:jc w:val="both"/>
      </w:pPr>
      <w:r w:rsidRPr="00F22131">
        <w:t xml:space="preserve">Równość podłużna </w:t>
      </w:r>
    </w:p>
    <w:p w14:paraId="6BD38CB0" w14:textId="076E0108" w:rsidR="00F22131" w:rsidRDefault="00F22131" w:rsidP="00F22131">
      <w:pPr>
        <w:pStyle w:val="Akapitzlist"/>
        <w:spacing w:before="80" w:after="0"/>
        <w:ind w:left="284"/>
        <w:contextualSpacing w:val="0"/>
        <w:jc w:val="both"/>
      </w:pPr>
      <w:r>
        <w:t xml:space="preserve">Do oceny równości podłużnej warstwy ścieralnej należy stosować metodę pomiaru ciągłego równoważną </w:t>
      </w:r>
      <w:proofErr w:type="spellStart"/>
      <w:r>
        <w:t>użuciu</w:t>
      </w:r>
      <w:proofErr w:type="spellEnd"/>
      <w:r>
        <w:t xml:space="preserve"> łaty i klina np. </w:t>
      </w:r>
      <w:r w:rsidR="002B3FA3">
        <w:t xml:space="preserve">z wykorzystaniem </w:t>
      </w:r>
      <w:proofErr w:type="spellStart"/>
      <w:r w:rsidR="002B3FA3">
        <w:t>pla</w:t>
      </w:r>
      <w:r>
        <w:t>nografu</w:t>
      </w:r>
      <w:proofErr w:type="spellEnd"/>
      <w:r>
        <w:t xml:space="preserve">, umożliwiającego wyznaczenie odchyleń równości podłużnej jako </w:t>
      </w:r>
      <w:proofErr w:type="spellStart"/>
      <w:r>
        <w:t>najwększej</w:t>
      </w:r>
      <w:proofErr w:type="spellEnd"/>
      <w:r>
        <w:t xml:space="preserve"> odległości (prześwitu) pomiędzy teoretyczną linią łączącą spody kółek jezdnych urządzenia a mierz</w:t>
      </w:r>
      <w:r w:rsidR="008D7269">
        <w:t>oną powierzchnią warstwy [mm]. Wymagana równość podłużna jest określona przez wartość odchylenia równości (prześwitu), które nie mogą przekroczyć 4 mm. W</w:t>
      </w:r>
      <w:r>
        <w:t xml:space="preserve"> miejscach niedostę</w:t>
      </w:r>
      <w:r w:rsidR="002B3FA3">
        <w:t xml:space="preserve">pnych dla </w:t>
      </w:r>
      <w:proofErr w:type="spellStart"/>
      <w:r w:rsidR="002B3FA3">
        <w:t>p</w:t>
      </w:r>
      <w:r>
        <w:t>l</w:t>
      </w:r>
      <w:r w:rsidR="002B3FA3">
        <w:t>a</w:t>
      </w:r>
      <w:r>
        <w:t>nografu</w:t>
      </w:r>
      <w:proofErr w:type="spellEnd"/>
      <w:r>
        <w:t xml:space="preserve"> pomiar równości podłużnej warstwy nawierzchni należy wykonać w sposób ciągły z użyciem łaty i klina.</w:t>
      </w:r>
    </w:p>
    <w:p w14:paraId="7E8EBDAF" w14:textId="77777777" w:rsidR="00363999" w:rsidRPr="00B13ACF" w:rsidRDefault="00363999" w:rsidP="00363999">
      <w:pPr>
        <w:numPr>
          <w:ilvl w:val="3"/>
          <w:numId w:val="2"/>
        </w:numPr>
        <w:spacing w:before="80" w:after="0"/>
        <w:ind w:left="851" w:hanging="851"/>
        <w:jc w:val="both"/>
      </w:pPr>
      <w:r w:rsidRPr="00B13ACF">
        <w:t>Nośność nawierzchni</w:t>
      </w:r>
    </w:p>
    <w:p w14:paraId="450FDBCF" w14:textId="77777777" w:rsidR="00363999" w:rsidRPr="00B13ACF" w:rsidRDefault="00363999" w:rsidP="00363999">
      <w:pPr>
        <w:spacing w:before="80" w:after="0"/>
        <w:jc w:val="both"/>
      </w:pPr>
      <w:r w:rsidRPr="00B13ACF">
        <w:t>Stan nośności warstw konstrukcyjnych nawierzchni będzie oceniany w oparciu o pomiary ugięć aparatem FWD. Aparat FWD (</w:t>
      </w:r>
      <w:proofErr w:type="spellStart"/>
      <w:r w:rsidRPr="00B13ACF">
        <w:t>Falling</w:t>
      </w:r>
      <w:proofErr w:type="spellEnd"/>
      <w:r w:rsidRPr="00B13ACF">
        <w:t xml:space="preserve"> </w:t>
      </w:r>
      <w:proofErr w:type="spellStart"/>
      <w:r w:rsidRPr="00B13ACF">
        <w:t>Weight</w:t>
      </w:r>
      <w:proofErr w:type="spellEnd"/>
      <w:r w:rsidRPr="00B13ACF">
        <w:t xml:space="preserve"> </w:t>
      </w:r>
      <w:proofErr w:type="spellStart"/>
      <w:r w:rsidRPr="00B13ACF">
        <w:t>Deflectometer</w:t>
      </w:r>
      <w:proofErr w:type="spellEnd"/>
      <w:r w:rsidRPr="00B13ACF">
        <w:t xml:space="preserve">) jest to </w:t>
      </w:r>
      <w:proofErr w:type="spellStart"/>
      <w:r w:rsidRPr="00B13ACF">
        <w:t>ugięciomierz</w:t>
      </w:r>
      <w:proofErr w:type="spellEnd"/>
      <w:r w:rsidRPr="00B13ACF">
        <w:t xml:space="preserve"> dynamiczny, w którym obciążenie testowe jest przekazywane na nawierzchnie w sposób symulujący przejazd pojazdu ciężkiego.</w:t>
      </w:r>
    </w:p>
    <w:p w14:paraId="0C706A25" w14:textId="6487B3F0" w:rsidR="00363999" w:rsidRPr="00B13ACF" w:rsidRDefault="00363999" w:rsidP="00363999">
      <w:pPr>
        <w:spacing w:before="80" w:after="0"/>
        <w:jc w:val="both"/>
      </w:pPr>
      <w:r w:rsidRPr="00B13ACF">
        <w:t>Ocenę nośności nawierzchni należy wykonać na odcinkach wskazujących na utratę nośności jedynie w przypadkach, w których inwestycja obejmowała wykonanie</w:t>
      </w:r>
      <w:r w:rsidR="00DB5D3C" w:rsidRPr="00B13ACF">
        <w:t xml:space="preserve"> pełnej konstrukcji nawierzchni.</w:t>
      </w:r>
    </w:p>
    <w:p w14:paraId="4FA4CE07" w14:textId="77777777" w:rsidR="00363999" w:rsidRPr="00B13ACF" w:rsidRDefault="00363999" w:rsidP="00363999">
      <w:pPr>
        <w:spacing w:before="80" w:after="0"/>
        <w:jc w:val="both"/>
      </w:pPr>
      <w:r w:rsidRPr="00B13ACF">
        <w:t>Pomiary ugięć nawierzchni należy wykonywać w przypadkach szczególnych (wystąpienie uszkodzeń nawierzchni typu: spękania, koleiny, nierówności) świadczących o potencjalnej utracie nośności na odcinkach wskazanych przez Zamawiającego.</w:t>
      </w:r>
    </w:p>
    <w:p w14:paraId="0080D26A" w14:textId="77777777" w:rsidR="00363999" w:rsidRPr="00B13ACF" w:rsidRDefault="00363999" w:rsidP="00363999">
      <w:pPr>
        <w:tabs>
          <w:tab w:val="left" w:pos="1134"/>
        </w:tabs>
        <w:spacing w:before="80" w:after="0"/>
        <w:jc w:val="both"/>
      </w:pPr>
      <w:r w:rsidRPr="00B13ACF">
        <w:t>Tabela 6.</w:t>
      </w:r>
      <w:r w:rsidRPr="00B13ACF">
        <w:tab/>
        <w:t xml:space="preserve">Wymagane wartości nośności nawierzchni </w:t>
      </w:r>
      <w:r w:rsidR="00327107" w:rsidRPr="00B13ACF">
        <w:t>w okresie obowiązywania Gwarancji Jakości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1"/>
        <w:gridCol w:w="1191"/>
        <w:gridCol w:w="1191"/>
        <w:gridCol w:w="1191"/>
        <w:gridCol w:w="1191"/>
        <w:gridCol w:w="1195"/>
      </w:tblGrid>
      <w:tr w:rsidR="00B13ACF" w:rsidRPr="00B13ACF" w14:paraId="1247A098" w14:textId="77777777" w:rsidTr="00BD40BF">
        <w:trPr>
          <w:trHeight w:val="279"/>
        </w:trPr>
        <w:tc>
          <w:tcPr>
            <w:tcW w:w="3161" w:type="dxa"/>
            <w:vMerge w:val="restart"/>
            <w:shd w:val="clear" w:color="auto" w:fill="auto"/>
            <w:vAlign w:val="center"/>
          </w:tcPr>
          <w:p w14:paraId="6914E740" w14:textId="77777777" w:rsidR="00363999" w:rsidRPr="00B13ACF" w:rsidRDefault="00363999" w:rsidP="00BD40BF">
            <w:pPr>
              <w:spacing w:before="80" w:after="0"/>
              <w:jc w:val="center"/>
              <w:rPr>
                <w:sz w:val="18"/>
              </w:rPr>
            </w:pPr>
            <w:r w:rsidRPr="00B13ACF">
              <w:rPr>
                <w:sz w:val="18"/>
              </w:rPr>
              <w:t>Parametr</w:t>
            </w:r>
          </w:p>
        </w:tc>
        <w:tc>
          <w:tcPr>
            <w:tcW w:w="5959" w:type="dxa"/>
            <w:gridSpan w:val="5"/>
            <w:shd w:val="clear" w:color="auto" w:fill="auto"/>
            <w:vAlign w:val="center"/>
          </w:tcPr>
          <w:p w14:paraId="61F86BAC" w14:textId="77777777" w:rsidR="00363999" w:rsidRPr="00B13ACF" w:rsidRDefault="00363999" w:rsidP="00BD40BF">
            <w:pPr>
              <w:spacing w:before="80" w:after="0"/>
              <w:jc w:val="center"/>
              <w:rPr>
                <w:sz w:val="18"/>
              </w:rPr>
            </w:pPr>
            <w:r w:rsidRPr="00B13ACF">
              <w:rPr>
                <w:sz w:val="18"/>
              </w:rPr>
              <w:t>Kategoria ruchu</w:t>
            </w:r>
          </w:p>
        </w:tc>
      </w:tr>
      <w:tr w:rsidR="00B13ACF" w:rsidRPr="00B13ACF" w14:paraId="0DC82627" w14:textId="77777777" w:rsidTr="00BD40BF">
        <w:trPr>
          <w:trHeight w:val="292"/>
        </w:trPr>
        <w:tc>
          <w:tcPr>
            <w:tcW w:w="3161" w:type="dxa"/>
            <w:vMerge/>
            <w:shd w:val="clear" w:color="auto" w:fill="auto"/>
          </w:tcPr>
          <w:p w14:paraId="60E8AB67" w14:textId="77777777" w:rsidR="00363999" w:rsidRPr="00B13ACF" w:rsidRDefault="00363999" w:rsidP="00BD40BF">
            <w:pPr>
              <w:spacing w:before="80" w:after="0"/>
              <w:jc w:val="center"/>
              <w:rPr>
                <w:sz w:val="18"/>
              </w:rPr>
            </w:pPr>
          </w:p>
        </w:tc>
        <w:tc>
          <w:tcPr>
            <w:tcW w:w="1191" w:type="dxa"/>
            <w:shd w:val="clear" w:color="auto" w:fill="auto"/>
            <w:vAlign w:val="center"/>
          </w:tcPr>
          <w:p w14:paraId="5904737F" w14:textId="77777777" w:rsidR="00363999" w:rsidRPr="00B13ACF" w:rsidRDefault="00363999" w:rsidP="00BD40BF">
            <w:pPr>
              <w:spacing w:before="80" w:after="0"/>
              <w:jc w:val="center"/>
              <w:rPr>
                <w:sz w:val="18"/>
              </w:rPr>
            </w:pPr>
            <w:r w:rsidRPr="00B13ACF">
              <w:rPr>
                <w:sz w:val="18"/>
              </w:rPr>
              <w:t>KR1-2</w:t>
            </w:r>
          </w:p>
        </w:tc>
        <w:tc>
          <w:tcPr>
            <w:tcW w:w="1191" w:type="dxa"/>
            <w:shd w:val="clear" w:color="auto" w:fill="auto"/>
            <w:vAlign w:val="center"/>
          </w:tcPr>
          <w:p w14:paraId="1ACFAA41" w14:textId="77777777" w:rsidR="00363999" w:rsidRPr="00B13ACF" w:rsidRDefault="00363999" w:rsidP="00BD40BF">
            <w:pPr>
              <w:spacing w:before="80" w:after="0"/>
              <w:jc w:val="center"/>
              <w:rPr>
                <w:sz w:val="18"/>
              </w:rPr>
            </w:pPr>
            <w:r w:rsidRPr="00B13ACF">
              <w:rPr>
                <w:sz w:val="18"/>
              </w:rPr>
              <w:t>KR3</w:t>
            </w:r>
          </w:p>
        </w:tc>
        <w:tc>
          <w:tcPr>
            <w:tcW w:w="1191" w:type="dxa"/>
            <w:shd w:val="clear" w:color="auto" w:fill="auto"/>
            <w:vAlign w:val="center"/>
          </w:tcPr>
          <w:p w14:paraId="2BC32E4C" w14:textId="77777777" w:rsidR="00363999" w:rsidRPr="00B13ACF" w:rsidRDefault="00363999" w:rsidP="00BD40BF">
            <w:pPr>
              <w:spacing w:before="80" w:after="0"/>
              <w:jc w:val="center"/>
              <w:rPr>
                <w:sz w:val="18"/>
              </w:rPr>
            </w:pPr>
            <w:r w:rsidRPr="00B13ACF">
              <w:rPr>
                <w:sz w:val="18"/>
              </w:rPr>
              <w:t>KR4</w:t>
            </w:r>
          </w:p>
        </w:tc>
        <w:tc>
          <w:tcPr>
            <w:tcW w:w="1191" w:type="dxa"/>
            <w:shd w:val="clear" w:color="auto" w:fill="auto"/>
            <w:vAlign w:val="center"/>
          </w:tcPr>
          <w:p w14:paraId="79D3D34D" w14:textId="77777777" w:rsidR="00363999" w:rsidRPr="00B13ACF" w:rsidRDefault="00363999" w:rsidP="00BD40BF">
            <w:pPr>
              <w:spacing w:before="80" w:after="0"/>
              <w:jc w:val="center"/>
              <w:rPr>
                <w:sz w:val="18"/>
              </w:rPr>
            </w:pPr>
            <w:r w:rsidRPr="00B13ACF">
              <w:rPr>
                <w:sz w:val="18"/>
              </w:rPr>
              <w:t>KR5</w:t>
            </w:r>
          </w:p>
        </w:tc>
        <w:tc>
          <w:tcPr>
            <w:tcW w:w="1195" w:type="dxa"/>
            <w:shd w:val="clear" w:color="auto" w:fill="auto"/>
            <w:vAlign w:val="center"/>
          </w:tcPr>
          <w:p w14:paraId="4E5E2BEE" w14:textId="77777777" w:rsidR="00363999" w:rsidRPr="00B13ACF" w:rsidRDefault="00363999" w:rsidP="00BD40BF">
            <w:pPr>
              <w:spacing w:before="80" w:after="0"/>
              <w:jc w:val="center"/>
              <w:rPr>
                <w:sz w:val="18"/>
              </w:rPr>
            </w:pPr>
            <w:r w:rsidRPr="00B13ACF">
              <w:rPr>
                <w:sz w:val="18"/>
              </w:rPr>
              <w:t>KR6-7</w:t>
            </w:r>
          </w:p>
        </w:tc>
      </w:tr>
      <w:tr w:rsidR="00B13ACF" w:rsidRPr="00B13ACF" w14:paraId="5E1380CC" w14:textId="77777777" w:rsidTr="00BD40BF">
        <w:trPr>
          <w:trHeight w:val="483"/>
        </w:trPr>
        <w:tc>
          <w:tcPr>
            <w:tcW w:w="3161" w:type="dxa"/>
            <w:shd w:val="clear" w:color="auto" w:fill="auto"/>
            <w:vAlign w:val="center"/>
          </w:tcPr>
          <w:p w14:paraId="526C4DBB" w14:textId="77777777" w:rsidR="00363999" w:rsidRPr="00B13ACF" w:rsidRDefault="00363999" w:rsidP="00BD40BF">
            <w:pPr>
              <w:spacing w:before="80" w:after="0"/>
              <w:jc w:val="center"/>
              <w:rPr>
                <w:sz w:val="18"/>
              </w:rPr>
            </w:pPr>
            <w:r w:rsidRPr="00B13ACF">
              <w:rPr>
                <w:sz w:val="18"/>
              </w:rPr>
              <w:t xml:space="preserve">Miarodajny wskaźnik ugięcia U, </w:t>
            </w:r>
            <w:r w:rsidRPr="00B13ACF">
              <w:rPr>
                <w:sz w:val="18"/>
              </w:rPr>
              <w:sym w:font="SymbolPS" w:char="F06D"/>
            </w:r>
            <w:r w:rsidRPr="00B13ACF">
              <w:rPr>
                <w:sz w:val="18"/>
              </w:rPr>
              <w:t>m</w:t>
            </w:r>
          </w:p>
        </w:tc>
        <w:tc>
          <w:tcPr>
            <w:tcW w:w="1191" w:type="dxa"/>
            <w:shd w:val="clear" w:color="auto" w:fill="auto"/>
            <w:vAlign w:val="center"/>
          </w:tcPr>
          <w:p w14:paraId="1FEED52E" w14:textId="77777777" w:rsidR="00363999" w:rsidRPr="00B13ACF" w:rsidRDefault="00363999" w:rsidP="00BD40BF">
            <w:pPr>
              <w:spacing w:before="80" w:after="0"/>
              <w:jc w:val="center"/>
              <w:rPr>
                <w:sz w:val="18"/>
              </w:rPr>
            </w:pPr>
            <w:r w:rsidRPr="00B13ACF">
              <w:rPr>
                <w:sz w:val="18"/>
              </w:rPr>
              <w:t>≤ 550</w:t>
            </w:r>
          </w:p>
        </w:tc>
        <w:tc>
          <w:tcPr>
            <w:tcW w:w="1191" w:type="dxa"/>
            <w:shd w:val="clear" w:color="auto" w:fill="auto"/>
            <w:vAlign w:val="center"/>
          </w:tcPr>
          <w:p w14:paraId="2874FBD0" w14:textId="77777777" w:rsidR="00363999" w:rsidRPr="00B13ACF" w:rsidRDefault="00363999" w:rsidP="00BD40BF">
            <w:pPr>
              <w:spacing w:before="80" w:after="0"/>
              <w:jc w:val="center"/>
              <w:rPr>
                <w:sz w:val="18"/>
              </w:rPr>
            </w:pPr>
            <w:r w:rsidRPr="00B13ACF">
              <w:rPr>
                <w:sz w:val="18"/>
              </w:rPr>
              <w:t>≤ 390</w:t>
            </w:r>
          </w:p>
        </w:tc>
        <w:tc>
          <w:tcPr>
            <w:tcW w:w="1191" w:type="dxa"/>
            <w:shd w:val="clear" w:color="auto" w:fill="auto"/>
            <w:vAlign w:val="center"/>
          </w:tcPr>
          <w:p w14:paraId="2AED1396" w14:textId="77777777" w:rsidR="00363999" w:rsidRPr="00B13ACF" w:rsidRDefault="00363999" w:rsidP="00BD40BF">
            <w:pPr>
              <w:spacing w:before="80" w:after="0"/>
              <w:jc w:val="center"/>
              <w:rPr>
                <w:sz w:val="18"/>
              </w:rPr>
            </w:pPr>
            <w:r w:rsidRPr="00B13ACF">
              <w:rPr>
                <w:sz w:val="18"/>
              </w:rPr>
              <w:t>≤ 300</w:t>
            </w:r>
          </w:p>
        </w:tc>
        <w:tc>
          <w:tcPr>
            <w:tcW w:w="1191" w:type="dxa"/>
            <w:shd w:val="clear" w:color="auto" w:fill="auto"/>
            <w:vAlign w:val="center"/>
          </w:tcPr>
          <w:p w14:paraId="64151DBC" w14:textId="77777777" w:rsidR="00363999" w:rsidRPr="00B13ACF" w:rsidRDefault="00363999" w:rsidP="00BD40BF">
            <w:pPr>
              <w:spacing w:before="80" w:after="0"/>
              <w:jc w:val="center"/>
              <w:rPr>
                <w:sz w:val="18"/>
              </w:rPr>
            </w:pPr>
            <w:r w:rsidRPr="00B13ACF">
              <w:rPr>
                <w:sz w:val="18"/>
              </w:rPr>
              <w:t>≤ 250</w:t>
            </w:r>
          </w:p>
        </w:tc>
        <w:tc>
          <w:tcPr>
            <w:tcW w:w="1195" w:type="dxa"/>
            <w:shd w:val="clear" w:color="auto" w:fill="auto"/>
            <w:vAlign w:val="center"/>
          </w:tcPr>
          <w:p w14:paraId="192290A3" w14:textId="77777777" w:rsidR="00363999" w:rsidRPr="00B13ACF" w:rsidRDefault="00363999" w:rsidP="00BD40BF">
            <w:pPr>
              <w:spacing w:before="80" w:after="0"/>
              <w:jc w:val="center"/>
              <w:rPr>
                <w:sz w:val="18"/>
              </w:rPr>
            </w:pPr>
            <w:r w:rsidRPr="00B13ACF">
              <w:rPr>
                <w:sz w:val="18"/>
              </w:rPr>
              <w:t>≤ 205</w:t>
            </w:r>
          </w:p>
        </w:tc>
      </w:tr>
      <w:tr w:rsidR="00363999" w:rsidRPr="00B13ACF" w14:paraId="4CF94564" w14:textId="77777777" w:rsidTr="00BD40BF">
        <w:trPr>
          <w:trHeight w:val="496"/>
        </w:trPr>
        <w:tc>
          <w:tcPr>
            <w:tcW w:w="3161" w:type="dxa"/>
            <w:shd w:val="clear" w:color="auto" w:fill="auto"/>
            <w:vAlign w:val="center"/>
          </w:tcPr>
          <w:p w14:paraId="2D410C2B" w14:textId="77777777" w:rsidR="00363999" w:rsidRPr="00B13ACF" w:rsidRDefault="00363999" w:rsidP="00BD40BF">
            <w:pPr>
              <w:spacing w:before="80" w:after="0"/>
              <w:jc w:val="center"/>
              <w:rPr>
                <w:sz w:val="18"/>
              </w:rPr>
            </w:pPr>
            <w:r w:rsidRPr="00B13ACF">
              <w:rPr>
                <w:sz w:val="18"/>
              </w:rPr>
              <w:t xml:space="preserve">Miarodajny wskaźnik SCI300, </w:t>
            </w:r>
            <w:r w:rsidRPr="00B13ACF">
              <w:rPr>
                <w:sz w:val="18"/>
              </w:rPr>
              <w:sym w:font="SymbolPS" w:char="F06D"/>
            </w:r>
            <w:r w:rsidRPr="00B13ACF">
              <w:rPr>
                <w:sz w:val="18"/>
              </w:rPr>
              <w:t>m</w:t>
            </w:r>
          </w:p>
        </w:tc>
        <w:tc>
          <w:tcPr>
            <w:tcW w:w="1191" w:type="dxa"/>
            <w:shd w:val="clear" w:color="auto" w:fill="auto"/>
            <w:vAlign w:val="center"/>
          </w:tcPr>
          <w:p w14:paraId="337CA357" w14:textId="77777777" w:rsidR="00363999" w:rsidRPr="00B13ACF" w:rsidRDefault="00363999" w:rsidP="00BD40BF">
            <w:pPr>
              <w:spacing w:before="80" w:after="0"/>
              <w:jc w:val="center"/>
              <w:rPr>
                <w:sz w:val="18"/>
              </w:rPr>
            </w:pPr>
            <w:r w:rsidRPr="00B13ACF">
              <w:rPr>
                <w:sz w:val="18"/>
              </w:rPr>
              <w:t>≤ 115</w:t>
            </w:r>
          </w:p>
        </w:tc>
        <w:tc>
          <w:tcPr>
            <w:tcW w:w="1191" w:type="dxa"/>
            <w:shd w:val="clear" w:color="auto" w:fill="auto"/>
            <w:vAlign w:val="center"/>
          </w:tcPr>
          <w:p w14:paraId="4F9312A7" w14:textId="77777777" w:rsidR="00363999" w:rsidRPr="00B13ACF" w:rsidRDefault="00363999" w:rsidP="00BD40BF">
            <w:pPr>
              <w:spacing w:before="80" w:after="0"/>
              <w:jc w:val="center"/>
              <w:rPr>
                <w:sz w:val="18"/>
              </w:rPr>
            </w:pPr>
            <w:r w:rsidRPr="00B13ACF">
              <w:rPr>
                <w:sz w:val="18"/>
              </w:rPr>
              <w:t>≤ 70</w:t>
            </w:r>
          </w:p>
        </w:tc>
        <w:tc>
          <w:tcPr>
            <w:tcW w:w="1191" w:type="dxa"/>
            <w:shd w:val="clear" w:color="auto" w:fill="auto"/>
            <w:vAlign w:val="center"/>
          </w:tcPr>
          <w:p w14:paraId="583F6689" w14:textId="77777777" w:rsidR="00363999" w:rsidRPr="00B13ACF" w:rsidRDefault="00363999" w:rsidP="00BD40BF">
            <w:pPr>
              <w:spacing w:before="80" w:after="0"/>
              <w:jc w:val="center"/>
              <w:rPr>
                <w:sz w:val="18"/>
              </w:rPr>
            </w:pPr>
            <w:r w:rsidRPr="00B13ACF">
              <w:rPr>
                <w:sz w:val="18"/>
              </w:rPr>
              <w:t>≤ 50</w:t>
            </w:r>
          </w:p>
        </w:tc>
        <w:tc>
          <w:tcPr>
            <w:tcW w:w="1191" w:type="dxa"/>
            <w:shd w:val="clear" w:color="auto" w:fill="auto"/>
            <w:vAlign w:val="center"/>
          </w:tcPr>
          <w:p w14:paraId="134D75C1" w14:textId="77777777" w:rsidR="00363999" w:rsidRPr="00B13ACF" w:rsidRDefault="00363999" w:rsidP="00BD40BF">
            <w:pPr>
              <w:spacing w:before="80" w:after="0"/>
              <w:jc w:val="center"/>
              <w:rPr>
                <w:sz w:val="18"/>
              </w:rPr>
            </w:pPr>
            <w:r w:rsidRPr="00B13ACF">
              <w:rPr>
                <w:sz w:val="18"/>
              </w:rPr>
              <w:t>≤ 40</w:t>
            </w:r>
          </w:p>
        </w:tc>
        <w:tc>
          <w:tcPr>
            <w:tcW w:w="1195" w:type="dxa"/>
            <w:shd w:val="clear" w:color="auto" w:fill="auto"/>
            <w:vAlign w:val="center"/>
          </w:tcPr>
          <w:p w14:paraId="1DAB3ABE" w14:textId="77777777" w:rsidR="00363999" w:rsidRPr="00B13ACF" w:rsidRDefault="00363999" w:rsidP="00BD40BF">
            <w:pPr>
              <w:spacing w:before="80" w:after="0"/>
              <w:jc w:val="center"/>
              <w:rPr>
                <w:sz w:val="18"/>
              </w:rPr>
            </w:pPr>
            <w:r w:rsidRPr="00B13ACF">
              <w:rPr>
                <w:sz w:val="18"/>
              </w:rPr>
              <w:t>≤ 30</w:t>
            </w:r>
          </w:p>
        </w:tc>
      </w:tr>
    </w:tbl>
    <w:p w14:paraId="11E7FA47" w14:textId="77777777" w:rsidR="00363999" w:rsidRPr="00B13ACF" w:rsidRDefault="00363999" w:rsidP="00363999">
      <w:pPr>
        <w:spacing w:before="80" w:after="0"/>
        <w:jc w:val="both"/>
      </w:pPr>
    </w:p>
    <w:p w14:paraId="0B792D52" w14:textId="77777777" w:rsidR="00363999" w:rsidRPr="00B13ACF" w:rsidRDefault="00363999" w:rsidP="00363999">
      <w:pPr>
        <w:spacing w:before="80" w:after="0"/>
        <w:jc w:val="both"/>
      </w:pPr>
      <w:r w:rsidRPr="00B13ACF">
        <w:t>W tabeli 6 podano maksymalne dopuszczalne wartości parametrów, powyżej których należy zastosować program naprawczy zgodnie z warunkami kontraktu.</w:t>
      </w:r>
    </w:p>
    <w:p w14:paraId="42CC46C1" w14:textId="77777777" w:rsidR="00363999" w:rsidRPr="00B13ACF" w:rsidRDefault="00363999" w:rsidP="00363999">
      <w:pPr>
        <w:spacing w:before="80" w:after="0"/>
        <w:jc w:val="both"/>
        <w:rPr>
          <w:rFonts w:eastAsia="Times New Roman"/>
        </w:rPr>
      </w:pPr>
    </w:p>
    <w:p w14:paraId="31C33B26" w14:textId="2E581EF2" w:rsidR="00DC11E3" w:rsidRPr="00B13ACF" w:rsidRDefault="00363999" w:rsidP="00363999">
      <w:pPr>
        <w:spacing w:before="80" w:after="0"/>
        <w:jc w:val="both"/>
        <w:rPr>
          <w:rFonts w:eastAsia="Times New Roman"/>
        </w:rPr>
      </w:pPr>
      <w:r w:rsidRPr="00B13ACF">
        <w:rPr>
          <w:rFonts w:eastAsia="Times New Roman"/>
          <w:b/>
        </w:rPr>
        <w:t>Miarodajny wskaźnik ugięcia</w:t>
      </w:r>
      <w:r w:rsidRPr="00B13ACF">
        <w:rPr>
          <w:rFonts w:eastAsia="Times New Roman"/>
        </w:rPr>
        <w:t xml:space="preserve"> jest obliczany jako suma wartości średniej i odchylenia standardowego wskaźników ugięć dla wyników z kilometrowego odcinka drogi, krok pomiarowy co 50 m. Wartość wyznacza się wg wzoru:</w:t>
      </w:r>
    </w:p>
    <w:p w14:paraId="05A8010A" w14:textId="77777777" w:rsidR="005E4CC7" w:rsidRPr="00B13ACF" w:rsidRDefault="005E4CC7" w:rsidP="00363999">
      <w:pPr>
        <w:spacing w:before="80" w:after="0"/>
        <w:jc w:val="both"/>
        <w:rPr>
          <w:rFonts w:eastAsia="Times New Roman"/>
        </w:rPr>
      </w:pPr>
    </w:p>
    <w:p w14:paraId="29C0DCE6" w14:textId="77777777" w:rsidR="00363999" w:rsidRPr="00B13ACF" w:rsidRDefault="00363999" w:rsidP="00363999">
      <w:pPr>
        <w:spacing w:after="0"/>
        <w:jc w:val="center"/>
        <w:rPr>
          <w:rFonts w:eastAsia="Times New Roman"/>
        </w:rPr>
      </w:pPr>
      <w:r w:rsidRPr="00B13ACF">
        <w:rPr>
          <w:rFonts w:eastAsia="Times New Roman"/>
          <w:noProof/>
        </w:rPr>
        <w:lastRenderedPageBreak/>
        <w:drawing>
          <wp:inline distT="0" distB="0" distL="0" distR="0" wp14:anchorId="6C3CA5AC" wp14:editId="6DACADF2">
            <wp:extent cx="1028700"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9600"/>
                    </a:xfrm>
                    <a:prstGeom prst="rect">
                      <a:avLst/>
                    </a:prstGeom>
                    <a:noFill/>
                    <a:ln>
                      <a:noFill/>
                    </a:ln>
                  </pic:spPr>
                </pic:pic>
              </a:graphicData>
            </a:graphic>
          </wp:inline>
        </w:drawing>
      </w:r>
    </w:p>
    <w:p w14:paraId="66E730F4" w14:textId="77777777" w:rsidR="00363999" w:rsidRPr="00B13ACF" w:rsidRDefault="00363999" w:rsidP="00363999">
      <w:pPr>
        <w:spacing w:after="0"/>
        <w:jc w:val="both"/>
        <w:rPr>
          <w:rFonts w:eastAsia="Times New Roman"/>
        </w:rPr>
      </w:pPr>
      <w:r w:rsidRPr="00B13ACF">
        <w:rPr>
          <w:rFonts w:eastAsia="Times New Roman"/>
        </w:rPr>
        <w:t>gdzie:</w:t>
      </w:r>
    </w:p>
    <w:p w14:paraId="4E4DF2D5" w14:textId="77777777" w:rsidR="00363999" w:rsidRPr="00B13ACF" w:rsidRDefault="00363999" w:rsidP="00363999">
      <w:pPr>
        <w:spacing w:after="0"/>
        <w:rPr>
          <w:rFonts w:eastAsia="Times New Roman"/>
        </w:rPr>
      </w:pPr>
      <w:r w:rsidRPr="00B13ACF">
        <w:rPr>
          <w:rFonts w:eastAsia="Times New Roman"/>
        </w:rPr>
        <w:t xml:space="preserve">U </w:t>
      </w:r>
      <w:r w:rsidRPr="00B13ACF">
        <w:rPr>
          <w:rFonts w:eastAsia="Times New Roman"/>
        </w:rPr>
        <w:tab/>
        <w:t>miarodajny wskaźnik ugięcia,</w:t>
      </w:r>
    </w:p>
    <w:p w14:paraId="1F69A854" w14:textId="77777777" w:rsidR="00363999" w:rsidRPr="00B13ACF" w:rsidRDefault="00363999" w:rsidP="00363999">
      <w:pPr>
        <w:tabs>
          <w:tab w:val="left" w:pos="709"/>
        </w:tabs>
        <w:spacing w:after="0"/>
        <w:rPr>
          <w:rFonts w:eastAsia="Times New Roman"/>
        </w:rPr>
      </w:pPr>
      <w:proofErr w:type="spellStart"/>
      <w:r w:rsidRPr="00B13ACF">
        <w:rPr>
          <w:rFonts w:eastAsia="Times New Roman"/>
        </w:rPr>
        <w:t>us</w:t>
      </w:r>
      <w:proofErr w:type="spellEnd"/>
      <w:r w:rsidRPr="00B13ACF">
        <w:rPr>
          <w:rFonts w:eastAsia="Times New Roman"/>
        </w:rPr>
        <w:t xml:space="preserve"> </w:t>
      </w:r>
      <w:r w:rsidRPr="00B13ACF">
        <w:rPr>
          <w:rFonts w:eastAsia="Times New Roman"/>
        </w:rPr>
        <w:tab/>
        <w:t>standaryzowana wartość pojedynczego pomiaru ugięcia,</w:t>
      </w:r>
    </w:p>
    <w:p w14:paraId="336B54EA" w14:textId="77777777" w:rsidR="00363999" w:rsidRPr="00B13ACF" w:rsidRDefault="00363999" w:rsidP="00363999">
      <w:pPr>
        <w:tabs>
          <w:tab w:val="left" w:pos="709"/>
        </w:tabs>
        <w:spacing w:after="0"/>
        <w:rPr>
          <w:rFonts w:eastAsia="Times New Roman"/>
        </w:rPr>
      </w:pPr>
      <w:r w:rsidRPr="00B13ACF">
        <w:rPr>
          <w:rFonts w:eastAsia="Times New Roman"/>
        </w:rPr>
        <w:t xml:space="preserve">n </w:t>
      </w:r>
      <w:r w:rsidRPr="00B13ACF">
        <w:rPr>
          <w:rFonts w:eastAsia="Times New Roman"/>
        </w:rPr>
        <w:tab/>
        <w:t>liczba ugięć standaryzowanych na odcinku.</w:t>
      </w:r>
    </w:p>
    <w:p w14:paraId="37A569E7" w14:textId="77777777" w:rsidR="00363999" w:rsidRPr="00B13ACF" w:rsidRDefault="00363999" w:rsidP="00363999">
      <w:pPr>
        <w:tabs>
          <w:tab w:val="left" w:pos="709"/>
        </w:tabs>
        <w:spacing w:after="0"/>
        <w:ind w:left="709" w:hanging="709"/>
        <w:rPr>
          <w:rFonts w:eastAsia="Times New Roman"/>
        </w:rPr>
      </w:pPr>
      <w:proofErr w:type="spellStart"/>
      <w:r w:rsidRPr="00B13ACF">
        <w:rPr>
          <w:rFonts w:eastAsia="Times New Roman"/>
        </w:rPr>
        <w:t>Du</w:t>
      </w:r>
      <w:proofErr w:type="spellEnd"/>
      <w:r w:rsidRPr="00B13ACF">
        <w:rPr>
          <w:rFonts w:eastAsia="Times New Roman"/>
        </w:rPr>
        <w:t xml:space="preserve"> </w:t>
      </w:r>
      <w:r w:rsidRPr="00B13ACF">
        <w:rPr>
          <w:rFonts w:eastAsia="Times New Roman"/>
        </w:rPr>
        <w:tab/>
        <w:t>odchylenie standardowe standaryzowanych wartości pojedynczych pomiarów</w:t>
      </w:r>
    </w:p>
    <w:p w14:paraId="5FDC950A" w14:textId="77777777" w:rsidR="00363999" w:rsidRPr="00B13ACF" w:rsidRDefault="00363999" w:rsidP="00363999">
      <w:pPr>
        <w:tabs>
          <w:tab w:val="left" w:pos="709"/>
        </w:tabs>
        <w:spacing w:after="0"/>
        <w:ind w:left="851" w:hanging="851"/>
        <w:rPr>
          <w:rFonts w:eastAsia="Times New Roman"/>
        </w:rPr>
      </w:pPr>
      <w:r w:rsidRPr="00B13ACF">
        <w:rPr>
          <w:rFonts w:eastAsia="Times New Roman"/>
        </w:rPr>
        <w:tab/>
        <w:t>ugięć na odcinku miarodajnym.</w:t>
      </w:r>
    </w:p>
    <w:p w14:paraId="2C4E7D78" w14:textId="77777777" w:rsidR="00363999" w:rsidRPr="00B13ACF" w:rsidRDefault="00363999" w:rsidP="00363999">
      <w:pPr>
        <w:spacing w:before="80" w:after="0"/>
        <w:jc w:val="both"/>
        <w:rPr>
          <w:rFonts w:eastAsia="Times New Roman"/>
        </w:rPr>
      </w:pPr>
      <w:r w:rsidRPr="00B13ACF">
        <w:rPr>
          <w:rFonts w:eastAsia="Times New Roman"/>
        </w:rPr>
        <w:t>Wynik obliczeń zaokrągla się zgodnie z ogólnymi zasadami.</w:t>
      </w:r>
    </w:p>
    <w:p w14:paraId="5A304074" w14:textId="77777777" w:rsidR="00363999" w:rsidRPr="00B13ACF" w:rsidRDefault="00363999" w:rsidP="00363999">
      <w:pPr>
        <w:numPr>
          <w:ilvl w:val="0"/>
          <w:numId w:val="1"/>
        </w:numPr>
        <w:spacing w:after="0"/>
        <w:ind w:left="284" w:hanging="284"/>
        <w:jc w:val="both"/>
      </w:pPr>
      <w:r w:rsidRPr="00B13ACF">
        <w:rPr>
          <w:rFonts w:eastAsia="Times New Roman"/>
        </w:rPr>
        <w:t>standaryzowana wartość pojedynczego pomiaru ugięcia</w:t>
      </w:r>
      <w:r w:rsidRPr="00B13ACF">
        <w:t xml:space="preserve"> - jest to ugięcie maksymalne sprowadzone do standardowych warunków nacisku 50 </w:t>
      </w:r>
      <w:proofErr w:type="spellStart"/>
      <w:r w:rsidRPr="00B13ACF">
        <w:t>kN</w:t>
      </w:r>
      <w:proofErr w:type="spellEnd"/>
      <w:r w:rsidRPr="00B13ACF">
        <w:t xml:space="preserve"> na kołowej powierzchni o średnicy 300 mm przy temperaturze warstw asfaltowych 20°C uwzględniające sezon i rodzaj materiału podbudowy.</w:t>
      </w:r>
    </w:p>
    <w:p w14:paraId="08259682" w14:textId="77777777" w:rsidR="00363999" w:rsidRPr="00B13ACF" w:rsidRDefault="00363999" w:rsidP="00363999">
      <w:pPr>
        <w:spacing w:before="80" w:after="0"/>
        <w:jc w:val="center"/>
        <w:rPr>
          <w:lang w:val="en-US"/>
        </w:rPr>
      </w:pPr>
      <w:r w:rsidRPr="00B13ACF">
        <w:rPr>
          <w:rFonts w:eastAsia="Times New Roman"/>
          <w:lang w:val="en-US"/>
        </w:rPr>
        <w:t>us</w:t>
      </w:r>
      <w:r w:rsidRPr="00B13ACF">
        <w:rPr>
          <w:lang w:val="en-US"/>
        </w:rPr>
        <w:t xml:space="preserve"> = D(50/</w:t>
      </w:r>
      <w:proofErr w:type="gramStart"/>
      <w:r w:rsidRPr="00B13ACF">
        <w:rPr>
          <w:lang w:val="en-US"/>
        </w:rPr>
        <w:t>F)·</w:t>
      </w:r>
      <w:proofErr w:type="spellStart"/>
      <w:proofErr w:type="gramEnd"/>
      <w:r w:rsidRPr="00B13ACF">
        <w:rPr>
          <w:lang w:val="en-US"/>
        </w:rPr>
        <w:t>f</w:t>
      </w:r>
      <w:r w:rsidRPr="00B13ACF">
        <w:rPr>
          <w:vertAlign w:val="subscript"/>
          <w:lang w:val="en-US"/>
        </w:rPr>
        <w:t>T</w:t>
      </w:r>
      <w:r w:rsidRPr="00B13ACF">
        <w:rPr>
          <w:lang w:val="en-US"/>
        </w:rPr>
        <w:t>·f</w:t>
      </w:r>
      <w:r w:rsidRPr="00B13ACF">
        <w:rPr>
          <w:vertAlign w:val="subscript"/>
          <w:lang w:val="en-US"/>
        </w:rPr>
        <w:t>S</w:t>
      </w:r>
      <w:r w:rsidRPr="00B13ACF">
        <w:rPr>
          <w:lang w:val="en-US"/>
        </w:rPr>
        <w:t>·f</w:t>
      </w:r>
      <w:r w:rsidRPr="00B13ACF">
        <w:rPr>
          <w:vertAlign w:val="subscript"/>
          <w:lang w:val="en-US"/>
        </w:rPr>
        <w:t>P</w:t>
      </w:r>
      <w:proofErr w:type="spellEnd"/>
    </w:p>
    <w:p w14:paraId="250BB013" w14:textId="77777777" w:rsidR="00363999" w:rsidRPr="00B13ACF" w:rsidRDefault="00363999" w:rsidP="00363999">
      <w:pPr>
        <w:spacing w:after="0"/>
        <w:ind w:left="284"/>
        <w:jc w:val="both"/>
        <w:rPr>
          <w:rFonts w:eastAsia="Times New Roman"/>
          <w:lang w:val="en-US"/>
        </w:rPr>
      </w:pPr>
      <w:proofErr w:type="spellStart"/>
      <w:r w:rsidRPr="00B13ACF">
        <w:rPr>
          <w:rFonts w:eastAsia="Times New Roman"/>
          <w:lang w:val="en-US"/>
        </w:rPr>
        <w:t>gdzie</w:t>
      </w:r>
      <w:proofErr w:type="spellEnd"/>
      <w:r w:rsidRPr="00B13ACF">
        <w:rPr>
          <w:rFonts w:eastAsia="Times New Roman"/>
          <w:lang w:val="en-US"/>
        </w:rPr>
        <w:t>:</w:t>
      </w:r>
    </w:p>
    <w:p w14:paraId="4C6EA13E" w14:textId="77777777" w:rsidR="00363999" w:rsidRPr="00B13ACF" w:rsidRDefault="00363999" w:rsidP="00363999">
      <w:pPr>
        <w:tabs>
          <w:tab w:val="left" w:pos="993"/>
        </w:tabs>
        <w:spacing w:after="0"/>
        <w:ind w:left="284"/>
        <w:jc w:val="both"/>
        <w:rPr>
          <w:rFonts w:eastAsia="Times New Roman"/>
        </w:rPr>
      </w:pPr>
      <w:proofErr w:type="spellStart"/>
      <w:r w:rsidRPr="00B13ACF">
        <w:rPr>
          <w:rFonts w:eastAsia="Times New Roman"/>
        </w:rPr>
        <w:t>us</w:t>
      </w:r>
      <w:proofErr w:type="spellEnd"/>
      <w:r w:rsidRPr="00B13ACF">
        <w:rPr>
          <w:rFonts w:eastAsia="Times New Roman"/>
        </w:rPr>
        <w:tab/>
        <w:t>ugięcie standaryzowane [</w:t>
      </w:r>
      <w:proofErr w:type="spellStart"/>
      <w:r w:rsidRPr="00B13ACF">
        <w:rPr>
          <w:rFonts w:eastAsia="Times New Roman"/>
        </w:rPr>
        <w:t>μm</w:t>
      </w:r>
      <w:proofErr w:type="spellEnd"/>
      <w:r w:rsidRPr="00B13ACF">
        <w:rPr>
          <w:rFonts w:eastAsia="Times New Roman"/>
        </w:rPr>
        <w:t xml:space="preserve">] </w:t>
      </w:r>
    </w:p>
    <w:p w14:paraId="4B2CA748"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D</w:t>
      </w:r>
      <w:r w:rsidRPr="00B13ACF">
        <w:rPr>
          <w:rFonts w:eastAsia="Times New Roman"/>
        </w:rPr>
        <w:tab/>
        <w:t>maksymalne ugięcie zarejestrowane [</w:t>
      </w:r>
      <w:proofErr w:type="spellStart"/>
      <w:r w:rsidRPr="00B13ACF">
        <w:rPr>
          <w:rFonts w:eastAsia="Times New Roman"/>
        </w:rPr>
        <w:t>μm</w:t>
      </w:r>
      <w:proofErr w:type="spellEnd"/>
      <w:r w:rsidRPr="00B13ACF">
        <w:rPr>
          <w:rFonts w:eastAsia="Times New Roman"/>
        </w:rPr>
        <w:t xml:space="preserve">] </w:t>
      </w:r>
    </w:p>
    <w:p w14:paraId="0B1A543E" w14:textId="77777777" w:rsidR="00363999" w:rsidRPr="00B13ACF" w:rsidRDefault="00363999" w:rsidP="00363999">
      <w:pPr>
        <w:tabs>
          <w:tab w:val="left" w:pos="993"/>
        </w:tabs>
        <w:spacing w:after="0"/>
        <w:ind w:left="284"/>
        <w:jc w:val="both"/>
        <w:rPr>
          <w:rFonts w:eastAsia="Times New Roman"/>
        </w:rPr>
      </w:pPr>
      <w:r w:rsidRPr="00B13ACF">
        <w:rPr>
          <w:rFonts w:eastAsia="Times New Roman"/>
        </w:rPr>
        <w:t>F</w:t>
      </w:r>
      <w:r w:rsidRPr="00B13ACF">
        <w:rPr>
          <w:rFonts w:eastAsia="Times New Roman"/>
        </w:rPr>
        <w:tab/>
        <w:t>obciążenie zarejestrowane [</w:t>
      </w:r>
      <w:proofErr w:type="spellStart"/>
      <w:r w:rsidRPr="00B13ACF">
        <w:rPr>
          <w:rFonts w:eastAsia="Times New Roman"/>
        </w:rPr>
        <w:t>kN</w:t>
      </w:r>
      <w:proofErr w:type="spellEnd"/>
      <w:r w:rsidRPr="00B13ACF">
        <w:rPr>
          <w:rFonts w:eastAsia="Times New Roman"/>
        </w:rPr>
        <w:t xml:space="preserve">] </w:t>
      </w:r>
    </w:p>
    <w:p w14:paraId="0C1E9542" w14:textId="77777777" w:rsidR="00363999" w:rsidRPr="00B13ACF" w:rsidRDefault="00363999" w:rsidP="00363999">
      <w:pPr>
        <w:tabs>
          <w:tab w:val="left" w:pos="993"/>
        </w:tabs>
        <w:spacing w:after="0"/>
        <w:ind w:left="284"/>
        <w:jc w:val="both"/>
        <w:rPr>
          <w:rFonts w:eastAsia="Times New Roman"/>
        </w:rPr>
      </w:pPr>
      <w:proofErr w:type="spellStart"/>
      <w:r w:rsidRPr="00B13ACF">
        <w:rPr>
          <w:rFonts w:eastAsia="Times New Roman"/>
        </w:rPr>
        <w:t>f</w:t>
      </w:r>
      <w:r w:rsidRPr="00B13ACF">
        <w:rPr>
          <w:rFonts w:eastAsia="Times New Roman"/>
          <w:vertAlign w:val="subscript"/>
        </w:rPr>
        <w:t>T</w:t>
      </w:r>
      <w:proofErr w:type="spellEnd"/>
      <w:r w:rsidRPr="00B13ACF">
        <w:rPr>
          <w:rFonts w:eastAsia="Times New Roman"/>
        </w:rPr>
        <w:tab/>
        <w:t xml:space="preserve">współczynnik temperaturowy </w:t>
      </w:r>
    </w:p>
    <w:p w14:paraId="0C50CA70" w14:textId="77777777" w:rsidR="00363999" w:rsidRPr="00B13ACF" w:rsidRDefault="00363999" w:rsidP="00363999">
      <w:pPr>
        <w:tabs>
          <w:tab w:val="left" w:pos="993"/>
        </w:tabs>
        <w:spacing w:after="0"/>
        <w:ind w:left="284"/>
        <w:jc w:val="both"/>
        <w:rPr>
          <w:rFonts w:eastAsia="Times New Roman"/>
        </w:rPr>
      </w:pPr>
      <w:proofErr w:type="spellStart"/>
      <w:r w:rsidRPr="00B13ACF">
        <w:rPr>
          <w:rFonts w:eastAsia="Times New Roman"/>
        </w:rPr>
        <w:t>f</w:t>
      </w:r>
      <w:r w:rsidRPr="00B13ACF">
        <w:rPr>
          <w:rFonts w:eastAsia="Times New Roman"/>
          <w:vertAlign w:val="subscript"/>
        </w:rPr>
        <w:t>S</w:t>
      </w:r>
      <w:proofErr w:type="spellEnd"/>
      <w:r w:rsidRPr="00B13ACF">
        <w:rPr>
          <w:rFonts w:eastAsia="Times New Roman"/>
        </w:rPr>
        <w:tab/>
        <w:t xml:space="preserve">współczynnik sezonowości </w:t>
      </w:r>
    </w:p>
    <w:p w14:paraId="1272ECC7" w14:textId="77777777" w:rsidR="00363999" w:rsidRPr="00B13ACF" w:rsidRDefault="00363999" w:rsidP="00363999">
      <w:pPr>
        <w:tabs>
          <w:tab w:val="left" w:pos="993"/>
        </w:tabs>
        <w:spacing w:after="0"/>
        <w:ind w:left="284"/>
        <w:jc w:val="both"/>
        <w:rPr>
          <w:rFonts w:eastAsia="Times New Roman"/>
        </w:rPr>
      </w:pPr>
      <w:proofErr w:type="spellStart"/>
      <w:r w:rsidRPr="00B13ACF">
        <w:rPr>
          <w:rFonts w:eastAsia="Times New Roman"/>
        </w:rPr>
        <w:t>f</w:t>
      </w:r>
      <w:r w:rsidRPr="00B13ACF">
        <w:rPr>
          <w:rFonts w:eastAsia="Times New Roman"/>
          <w:vertAlign w:val="subscript"/>
        </w:rPr>
        <w:t>P</w:t>
      </w:r>
      <w:proofErr w:type="spellEnd"/>
      <w:r w:rsidRPr="00B13ACF">
        <w:rPr>
          <w:rFonts w:eastAsia="Times New Roman"/>
        </w:rPr>
        <w:tab/>
        <w:t xml:space="preserve">współczynnik podbudowy </w:t>
      </w:r>
    </w:p>
    <w:p w14:paraId="5DF249B6" w14:textId="77777777" w:rsidR="00363999" w:rsidRPr="00B13ACF" w:rsidRDefault="00363999" w:rsidP="00363999">
      <w:pPr>
        <w:numPr>
          <w:ilvl w:val="0"/>
          <w:numId w:val="1"/>
        </w:numPr>
        <w:spacing w:before="80" w:after="0"/>
        <w:ind w:left="284" w:hanging="284"/>
        <w:jc w:val="both"/>
      </w:pPr>
      <w:r w:rsidRPr="00B13ACF">
        <w:t xml:space="preserve">Korekta ugięć ze względu na temperaturę warstw asfaltowych – współczynnik temperaturowy </w:t>
      </w:r>
      <w:proofErr w:type="spellStart"/>
      <w:r w:rsidRPr="00B13ACF">
        <w:t>f</w:t>
      </w:r>
      <w:r w:rsidRPr="00B13ACF">
        <w:rPr>
          <w:vertAlign w:val="subscript"/>
        </w:rPr>
        <w:t>T</w:t>
      </w:r>
      <w:proofErr w:type="spellEnd"/>
      <w:r w:rsidRPr="00B13ACF">
        <w:t xml:space="preserve"> koryguje wyniki pomiarów ugięć sprężystych wykonanych w różnej temperaturze warstw asfaltowych i sprowadza je do wartości odpowiadającej temperaturze miarodajnej, czyli średniej temperaturze tych warstw w okresie wiosennym. Współczynnik temperaturowy </w:t>
      </w:r>
      <w:proofErr w:type="spellStart"/>
      <w:r w:rsidRPr="00B13ACF">
        <w:t>f</w:t>
      </w:r>
      <w:r w:rsidRPr="00B13ACF">
        <w:rPr>
          <w:vertAlign w:val="subscript"/>
        </w:rPr>
        <w:t>T</w:t>
      </w:r>
      <w:proofErr w:type="spellEnd"/>
      <w:r w:rsidRPr="00B13ACF">
        <w:t xml:space="preserve"> określa się ze wzoru: </w:t>
      </w:r>
    </w:p>
    <w:p w14:paraId="3302A688" w14:textId="77777777" w:rsidR="00363999" w:rsidRPr="00B13ACF" w:rsidRDefault="00363999" w:rsidP="00363999">
      <w:pPr>
        <w:spacing w:before="80" w:after="0"/>
        <w:jc w:val="center"/>
      </w:pPr>
      <w:proofErr w:type="spellStart"/>
      <w:r w:rsidRPr="00B13ACF">
        <w:t>f</w:t>
      </w:r>
      <w:r w:rsidRPr="00B13ACF">
        <w:rPr>
          <w:vertAlign w:val="subscript"/>
        </w:rPr>
        <w:t>T</w:t>
      </w:r>
      <w:proofErr w:type="spellEnd"/>
      <w:r w:rsidRPr="00B13ACF">
        <w:t xml:space="preserve"> = 1 + 0,02(20-T)</w:t>
      </w:r>
    </w:p>
    <w:p w14:paraId="07BB79F7" w14:textId="77777777" w:rsidR="00363999" w:rsidRPr="00B13ACF" w:rsidRDefault="00363999" w:rsidP="00363999">
      <w:pPr>
        <w:spacing w:after="0"/>
        <w:ind w:left="284"/>
        <w:jc w:val="both"/>
        <w:rPr>
          <w:rFonts w:eastAsia="Times New Roman"/>
        </w:rPr>
      </w:pPr>
      <w:r w:rsidRPr="00B13ACF">
        <w:rPr>
          <w:rFonts w:eastAsia="Times New Roman"/>
        </w:rPr>
        <w:t xml:space="preserve">gdzie: </w:t>
      </w:r>
    </w:p>
    <w:p w14:paraId="3E42A1F1" w14:textId="77777777" w:rsidR="00363999" w:rsidRPr="00B13ACF" w:rsidRDefault="00363999" w:rsidP="00363999">
      <w:pPr>
        <w:tabs>
          <w:tab w:val="left" w:pos="993"/>
        </w:tabs>
        <w:spacing w:after="0"/>
        <w:ind w:left="284"/>
        <w:jc w:val="both"/>
      </w:pPr>
      <w:r w:rsidRPr="00B13ACF">
        <w:rPr>
          <w:rFonts w:eastAsia="Times New Roman"/>
        </w:rPr>
        <w:t>T</w:t>
      </w:r>
      <w:r w:rsidRPr="00B13ACF">
        <w:tab/>
        <w:t xml:space="preserve">temperatura warstw asfaltowych podczas badania FWD [°C] </w:t>
      </w:r>
    </w:p>
    <w:p w14:paraId="1D4B70A5" w14:textId="77777777" w:rsidR="00363999" w:rsidRPr="00B13ACF" w:rsidRDefault="00363999" w:rsidP="00363999">
      <w:pPr>
        <w:spacing w:before="80" w:after="0"/>
        <w:ind w:left="284"/>
        <w:jc w:val="both"/>
      </w:pPr>
      <w:r w:rsidRPr="00B13ACF">
        <w:t xml:space="preserve">Korekta ugięć ze względu na okres wykonywania pomiarów ugięć – współczynnik sezonowości </w:t>
      </w:r>
      <w:proofErr w:type="spellStart"/>
      <w:r w:rsidRPr="00B13ACF">
        <w:t>f</w:t>
      </w:r>
      <w:r w:rsidRPr="00B13ACF">
        <w:rPr>
          <w:vertAlign w:val="subscript"/>
        </w:rPr>
        <w:t>S</w:t>
      </w:r>
      <w:proofErr w:type="spellEnd"/>
      <w:r w:rsidRPr="00B13ACF">
        <w:t>, zależny jest od okresu przeprowadzania pomiarów. Normalizacja polega na sprowadzeniu wartości ugięć pomierzonych w różnych okresach w ciągu roku do standardowych warunków wykonywania pomiarów w jednym okresie roku, wyznaczonym doświadczalnie dla danej strefy klimatycznej.</w:t>
      </w:r>
    </w:p>
    <w:p w14:paraId="722D3877" w14:textId="77777777" w:rsidR="00363999" w:rsidRPr="00B13ACF" w:rsidRDefault="00363999" w:rsidP="00363999">
      <w:pPr>
        <w:spacing w:before="80" w:after="0"/>
        <w:ind w:left="284"/>
        <w:jc w:val="both"/>
      </w:pPr>
      <w:r w:rsidRPr="00B13ACF">
        <w:t xml:space="preserve">Wartości współczynnika </w:t>
      </w:r>
      <w:proofErr w:type="spellStart"/>
      <w:r w:rsidRPr="00B13ACF">
        <w:t>f</w:t>
      </w:r>
      <w:r w:rsidRPr="00B13ACF">
        <w:rPr>
          <w:vertAlign w:val="subscript"/>
        </w:rPr>
        <w:t>S</w:t>
      </w:r>
      <w:proofErr w:type="spellEnd"/>
      <w:r w:rsidRPr="00B13ACF">
        <w:t xml:space="preserve"> zamieszczono w tabeli 7.</w:t>
      </w:r>
    </w:p>
    <w:p w14:paraId="4BDC14DB" w14:textId="77777777" w:rsidR="00363999" w:rsidRPr="00B13ACF" w:rsidRDefault="00363999" w:rsidP="00363999">
      <w:pPr>
        <w:spacing w:before="80" w:after="0"/>
        <w:ind w:left="284"/>
        <w:jc w:val="both"/>
      </w:pPr>
      <w:r w:rsidRPr="00B13ACF">
        <w:t>Tabela 7.</w:t>
      </w:r>
      <w:r w:rsidRPr="00B13ACF">
        <w:tab/>
        <w:t>Wartości współczynnika sezonowości w zależności od okresu wykonywania pomiarów</w:t>
      </w:r>
    </w:p>
    <w:tbl>
      <w:tblPr>
        <w:tblStyle w:val="Tabela-Siatka"/>
        <w:tblW w:w="0" w:type="auto"/>
        <w:tblInd w:w="284" w:type="dxa"/>
        <w:tblLook w:val="04A0" w:firstRow="1" w:lastRow="0" w:firstColumn="1" w:lastColumn="0" w:noHBand="0" w:noVBand="1"/>
      </w:tblPr>
      <w:tblGrid>
        <w:gridCol w:w="1721"/>
        <w:gridCol w:w="705"/>
        <w:gridCol w:w="706"/>
        <w:gridCol w:w="706"/>
        <w:gridCol w:w="705"/>
        <w:gridCol w:w="706"/>
        <w:gridCol w:w="706"/>
        <w:gridCol w:w="705"/>
        <w:gridCol w:w="706"/>
        <w:gridCol w:w="706"/>
        <w:gridCol w:w="706"/>
      </w:tblGrid>
      <w:tr w:rsidR="00B13ACF" w:rsidRPr="00B13ACF" w14:paraId="585DAD83" w14:textId="77777777" w:rsidTr="00BD40BF">
        <w:trPr>
          <w:cantSplit/>
          <w:trHeight w:val="1337"/>
        </w:trPr>
        <w:tc>
          <w:tcPr>
            <w:tcW w:w="1765" w:type="dxa"/>
            <w:vAlign w:val="center"/>
          </w:tcPr>
          <w:p w14:paraId="5518F77D" w14:textId="77777777" w:rsidR="00363999" w:rsidRPr="00B13ACF" w:rsidRDefault="00363999" w:rsidP="00BD40BF">
            <w:pPr>
              <w:spacing w:before="80" w:after="0"/>
              <w:jc w:val="center"/>
              <w:rPr>
                <w:sz w:val="18"/>
                <w:szCs w:val="18"/>
              </w:rPr>
            </w:pPr>
            <w:r w:rsidRPr="00B13ACF">
              <w:rPr>
                <w:sz w:val="18"/>
                <w:szCs w:val="18"/>
              </w:rPr>
              <w:t>Miesiąc wykonywania pomiarów FWD</w:t>
            </w:r>
          </w:p>
        </w:tc>
        <w:tc>
          <w:tcPr>
            <w:tcW w:w="723" w:type="dxa"/>
            <w:textDirection w:val="btLr"/>
            <w:vAlign w:val="center"/>
          </w:tcPr>
          <w:p w14:paraId="39DB5FC3" w14:textId="77777777" w:rsidR="00363999" w:rsidRPr="00B13ACF" w:rsidRDefault="00363999" w:rsidP="00BD40BF">
            <w:pPr>
              <w:spacing w:before="80" w:after="0"/>
              <w:ind w:left="113" w:right="113"/>
              <w:jc w:val="center"/>
              <w:rPr>
                <w:sz w:val="18"/>
                <w:szCs w:val="18"/>
              </w:rPr>
            </w:pPr>
            <w:r w:rsidRPr="00B13ACF">
              <w:rPr>
                <w:sz w:val="18"/>
                <w:szCs w:val="18"/>
              </w:rPr>
              <w:t>marzec</w:t>
            </w:r>
          </w:p>
        </w:tc>
        <w:tc>
          <w:tcPr>
            <w:tcW w:w="724" w:type="dxa"/>
            <w:textDirection w:val="btLr"/>
            <w:vAlign w:val="center"/>
          </w:tcPr>
          <w:p w14:paraId="2FF57E27" w14:textId="77777777" w:rsidR="00363999" w:rsidRPr="00B13ACF" w:rsidRDefault="00363999" w:rsidP="00BD40BF">
            <w:pPr>
              <w:spacing w:before="80" w:after="0"/>
              <w:ind w:left="113" w:right="113"/>
              <w:jc w:val="center"/>
              <w:rPr>
                <w:sz w:val="18"/>
                <w:szCs w:val="18"/>
              </w:rPr>
            </w:pPr>
            <w:r w:rsidRPr="00B13ACF">
              <w:rPr>
                <w:sz w:val="18"/>
                <w:szCs w:val="18"/>
              </w:rPr>
              <w:t>kwiecień</w:t>
            </w:r>
          </w:p>
        </w:tc>
        <w:tc>
          <w:tcPr>
            <w:tcW w:w="724" w:type="dxa"/>
            <w:textDirection w:val="btLr"/>
            <w:vAlign w:val="center"/>
          </w:tcPr>
          <w:p w14:paraId="77F56E7D" w14:textId="77777777" w:rsidR="00363999" w:rsidRPr="00B13ACF" w:rsidRDefault="00363999" w:rsidP="00BD40BF">
            <w:pPr>
              <w:spacing w:before="80" w:after="0"/>
              <w:ind w:left="113" w:right="113"/>
              <w:jc w:val="center"/>
              <w:rPr>
                <w:sz w:val="18"/>
                <w:szCs w:val="18"/>
              </w:rPr>
            </w:pPr>
            <w:r w:rsidRPr="00B13ACF">
              <w:rPr>
                <w:sz w:val="18"/>
                <w:szCs w:val="18"/>
              </w:rPr>
              <w:t>maj</w:t>
            </w:r>
          </w:p>
        </w:tc>
        <w:tc>
          <w:tcPr>
            <w:tcW w:w="723" w:type="dxa"/>
            <w:textDirection w:val="btLr"/>
            <w:vAlign w:val="center"/>
          </w:tcPr>
          <w:p w14:paraId="1D9CA6D3" w14:textId="77777777" w:rsidR="00363999" w:rsidRPr="00B13ACF" w:rsidRDefault="00363999" w:rsidP="00BD40BF">
            <w:pPr>
              <w:spacing w:before="80" w:after="0"/>
              <w:ind w:left="113" w:right="113"/>
              <w:jc w:val="center"/>
              <w:rPr>
                <w:sz w:val="18"/>
                <w:szCs w:val="18"/>
              </w:rPr>
            </w:pPr>
            <w:r w:rsidRPr="00B13ACF">
              <w:rPr>
                <w:sz w:val="18"/>
                <w:szCs w:val="18"/>
              </w:rPr>
              <w:t>czerwiec</w:t>
            </w:r>
          </w:p>
        </w:tc>
        <w:tc>
          <w:tcPr>
            <w:tcW w:w="724" w:type="dxa"/>
            <w:textDirection w:val="btLr"/>
            <w:vAlign w:val="center"/>
          </w:tcPr>
          <w:p w14:paraId="1DB8B868" w14:textId="77777777" w:rsidR="00363999" w:rsidRPr="00B13ACF" w:rsidRDefault="00363999" w:rsidP="00BD40BF">
            <w:pPr>
              <w:spacing w:before="80" w:after="0"/>
              <w:ind w:left="113" w:right="113"/>
              <w:jc w:val="center"/>
              <w:rPr>
                <w:sz w:val="18"/>
                <w:szCs w:val="18"/>
              </w:rPr>
            </w:pPr>
            <w:r w:rsidRPr="00B13ACF">
              <w:rPr>
                <w:sz w:val="18"/>
                <w:szCs w:val="18"/>
              </w:rPr>
              <w:t>lipiec</w:t>
            </w:r>
          </w:p>
        </w:tc>
        <w:tc>
          <w:tcPr>
            <w:tcW w:w="724" w:type="dxa"/>
            <w:textDirection w:val="btLr"/>
            <w:vAlign w:val="center"/>
          </w:tcPr>
          <w:p w14:paraId="528739C2" w14:textId="77777777" w:rsidR="00363999" w:rsidRPr="00B13ACF" w:rsidRDefault="00363999" w:rsidP="00BD40BF">
            <w:pPr>
              <w:spacing w:before="80" w:after="0"/>
              <w:ind w:left="113" w:right="113"/>
              <w:jc w:val="center"/>
              <w:rPr>
                <w:sz w:val="18"/>
                <w:szCs w:val="18"/>
              </w:rPr>
            </w:pPr>
            <w:r w:rsidRPr="00B13ACF">
              <w:rPr>
                <w:sz w:val="18"/>
                <w:szCs w:val="18"/>
              </w:rPr>
              <w:t>sierpień</w:t>
            </w:r>
          </w:p>
        </w:tc>
        <w:tc>
          <w:tcPr>
            <w:tcW w:w="723" w:type="dxa"/>
            <w:textDirection w:val="btLr"/>
            <w:vAlign w:val="center"/>
          </w:tcPr>
          <w:p w14:paraId="28BFA85C" w14:textId="77777777" w:rsidR="00363999" w:rsidRPr="00B13ACF" w:rsidRDefault="00363999" w:rsidP="00BD40BF">
            <w:pPr>
              <w:spacing w:before="80" w:after="0"/>
              <w:ind w:left="113" w:right="113"/>
              <w:jc w:val="center"/>
              <w:rPr>
                <w:sz w:val="18"/>
                <w:szCs w:val="18"/>
              </w:rPr>
            </w:pPr>
            <w:r w:rsidRPr="00B13ACF">
              <w:rPr>
                <w:sz w:val="18"/>
                <w:szCs w:val="18"/>
              </w:rPr>
              <w:t>wrzesień</w:t>
            </w:r>
          </w:p>
        </w:tc>
        <w:tc>
          <w:tcPr>
            <w:tcW w:w="724" w:type="dxa"/>
            <w:textDirection w:val="btLr"/>
            <w:vAlign w:val="center"/>
          </w:tcPr>
          <w:p w14:paraId="5BAAA5F1" w14:textId="77777777" w:rsidR="00363999" w:rsidRPr="00B13ACF" w:rsidRDefault="00363999" w:rsidP="00BD40BF">
            <w:pPr>
              <w:spacing w:before="80" w:after="0"/>
              <w:ind w:left="113" w:right="113"/>
              <w:jc w:val="center"/>
              <w:rPr>
                <w:sz w:val="18"/>
                <w:szCs w:val="18"/>
              </w:rPr>
            </w:pPr>
            <w:r w:rsidRPr="00B13ACF">
              <w:rPr>
                <w:sz w:val="18"/>
                <w:szCs w:val="18"/>
              </w:rPr>
              <w:t>październik</w:t>
            </w:r>
          </w:p>
        </w:tc>
        <w:tc>
          <w:tcPr>
            <w:tcW w:w="724" w:type="dxa"/>
            <w:textDirection w:val="btLr"/>
            <w:vAlign w:val="center"/>
          </w:tcPr>
          <w:p w14:paraId="3CACE432" w14:textId="77777777" w:rsidR="00363999" w:rsidRPr="00B13ACF" w:rsidRDefault="00363999" w:rsidP="00BD40BF">
            <w:pPr>
              <w:spacing w:before="80" w:after="0"/>
              <w:ind w:left="113" w:right="113"/>
              <w:jc w:val="center"/>
              <w:rPr>
                <w:sz w:val="18"/>
                <w:szCs w:val="18"/>
              </w:rPr>
            </w:pPr>
            <w:r w:rsidRPr="00B13ACF">
              <w:rPr>
                <w:sz w:val="18"/>
                <w:szCs w:val="18"/>
              </w:rPr>
              <w:t>listopad</w:t>
            </w:r>
          </w:p>
        </w:tc>
        <w:tc>
          <w:tcPr>
            <w:tcW w:w="724" w:type="dxa"/>
            <w:textDirection w:val="btLr"/>
            <w:vAlign w:val="center"/>
          </w:tcPr>
          <w:p w14:paraId="4FBB1D3E" w14:textId="77777777" w:rsidR="00363999" w:rsidRPr="00B13ACF" w:rsidRDefault="00363999" w:rsidP="00BD40BF">
            <w:pPr>
              <w:spacing w:before="80" w:after="0"/>
              <w:ind w:left="113" w:right="113"/>
              <w:jc w:val="center"/>
              <w:rPr>
                <w:sz w:val="18"/>
                <w:szCs w:val="18"/>
              </w:rPr>
            </w:pPr>
            <w:r w:rsidRPr="00B13ACF">
              <w:rPr>
                <w:sz w:val="18"/>
                <w:szCs w:val="18"/>
              </w:rPr>
              <w:t>grudzień</w:t>
            </w:r>
          </w:p>
        </w:tc>
      </w:tr>
      <w:tr w:rsidR="00363999" w:rsidRPr="00B13ACF" w14:paraId="6CF94995" w14:textId="77777777" w:rsidTr="00BD40BF">
        <w:tc>
          <w:tcPr>
            <w:tcW w:w="1765" w:type="dxa"/>
            <w:vAlign w:val="center"/>
          </w:tcPr>
          <w:p w14:paraId="1CD65A33" w14:textId="77777777" w:rsidR="00363999" w:rsidRPr="00B13ACF" w:rsidRDefault="00363999" w:rsidP="00BD40BF">
            <w:pPr>
              <w:spacing w:before="80" w:after="0"/>
              <w:jc w:val="center"/>
              <w:rPr>
                <w:sz w:val="18"/>
                <w:szCs w:val="18"/>
              </w:rPr>
            </w:pPr>
            <w:r w:rsidRPr="00B13ACF">
              <w:rPr>
                <w:sz w:val="18"/>
                <w:szCs w:val="18"/>
              </w:rPr>
              <w:t xml:space="preserve">Wartość współczynnika </w:t>
            </w:r>
            <w:proofErr w:type="spellStart"/>
            <w:r w:rsidRPr="00B13ACF">
              <w:rPr>
                <w:sz w:val="18"/>
                <w:szCs w:val="18"/>
              </w:rPr>
              <w:t>f</w:t>
            </w:r>
            <w:r w:rsidRPr="00B13ACF">
              <w:rPr>
                <w:sz w:val="18"/>
                <w:szCs w:val="18"/>
                <w:vertAlign w:val="subscript"/>
              </w:rPr>
              <w:t>S</w:t>
            </w:r>
            <w:proofErr w:type="spellEnd"/>
          </w:p>
        </w:tc>
        <w:tc>
          <w:tcPr>
            <w:tcW w:w="723" w:type="dxa"/>
            <w:vAlign w:val="center"/>
          </w:tcPr>
          <w:p w14:paraId="664F27AC" w14:textId="77777777" w:rsidR="00363999" w:rsidRPr="00B13ACF" w:rsidRDefault="00363999" w:rsidP="00BD40BF">
            <w:pPr>
              <w:spacing w:before="80" w:after="0"/>
              <w:jc w:val="center"/>
              <w:rPr>
                <w:sz w:val="18"/>
                <w:szCs w:val="18"/>
              </w:rPr>
            </w:pPr>
            <w:r w:rsidRPr="00B13ACF">
              <w:rPr>
                <w:sz w:val="18"/>
                <w:szCs w:val="18"/>
              </w:rPr>
              <w:t>1,00</w:t>
            </w:r>
          </w:p>
        </w:tc>
        <w:tc>
          <w:tcPr>
            <w:tcW w:w="724" w:type="dxa"/>
            <w:vAlign w:val="center"/>
          </w:tcPr>
          <w:p w14:paraId="05B1E6D3" w14:textId="77777777" w:rsidR="00363999" w:rsidRPr="00B13ACF" w:rsidRDefault="00363999" w:rsidP="00BD40BF">
            <w:pPr>
              <w:spacing w:before="80" w:after="0"/>
              <w:jc w:val="center"/>
              <w:rPr>
                <w:sz w:val="18"/>
                <w:szCs w:val="18"/>
              </w:rPr>
            </w:pPr>
            <w:r w:rsidRPr="00B13ACF">
              <w:rPr>
                <w:sz w:val="18"/>
                <w:szCs w:val="18"/>
              </w:rPr>
              <w:t>1,04</w:t>
            </w:r>
          </w:p>
        </w:tc>
        <w:tc>
          <w:tcPr>
            <w:tcW w:w="724" w:type="dxa"/>
            <w:vAlign w:val="center"/>
          </w:tcPr>
          <w:p w14:paraId="14F0F15D" w14:textId="77777777" w:rsidR="00363999" w:rsidRPr="00B13ACF" w:rsidRDefault="00363999" w:rsidP="00BD40BF">
            <w:pPr>
              <w:spacing w:before="80" w:after="0"/>
              <w:jc w:val="center"/>
              <w:rPr>
                <w:sz w:val="18"/>
                <w:szCs w:val="18"/>
              </w:rPr>
            </w:pPr>
            <w:r w:rsidRPr="00B13ACF">
              <w:rPr>
                <w:sz w:val="18"/>
                <w:szCs w:val="18"/>
              </w:rPr>
              <w:t>1,08</w:t>
            </w:r>
          </w:p>
        </w:tc>
        <w:tc>
          <w:tcPr>
            <w:tcW w:w="723" w:type="dxa"/>
            <w:vAlign w:val="center"/>
          </w:tcPr>
          <w:p w14:paraId="7A6845E9" w14:textId="77777777" w:rsidR="00363999" w:rsidRPr="00B13ACF" w:rsidRDefault="00363999" w:rsidP="00BD40BF">
            <w:pPr>
              <w:spacing w:before="80" w:after="0"/>
              <w:jc w:val="center"/>
              <w:rPr>
                <w:sz w:val="18"/>
                <w:szCs w:val="18"/>
              </w:rPr>
            </w:pPr>
            <w:r w:rsidRPr="00B13ACF">
              <w:rPr>
                <w:sz w:val="18"/>
                <w:szCs w:val="18"/>
              </w:rPr>
              <w:t>1,12</w:t>
            </w:r>
          </w:p>
        </w:tc>
        <w:tc>
          <w:tcPr>
            <w:tcW w:w="724" w:type="dxa"/>
            <w:vAlign w:val="center"/>
          </w:tcPr>
          <w:p w14:paraId="0D4F06A4" w14:textId="77777777" w:rsidR="00363999" w:rsidRPr="00B13ACF" w:rsidRDefault="00363999" w:rsidP="00BD40BF">
            <w:pPr>
              <w:spacing w:before="80" w:after="0"/>
              <w:jc w:val="center"/>
              <w:rPr>
                <w:sz w:val="18"/>
                <w:szCs w:val="18"/>
              </w:rPr>
            </w:pPr>
            <w:r w:rsidRPr="00B13ACF">
              <w:rPr>
                <w:sz w:val="18"/>
                <w:szCs w:val="18"/>
              </w:rPr>
              <w:t>1,15</w:t>
            </w:r>
          </w:p>
        </w:tc>
        <w:tc>
          <w:tcPr>
            <w:tcW w:w="724" w:type="dxa"/>
            <w:vAlign w:val="center"/>
          </w:tcPr>
          <w:p w14:paraId="2BBE72F5" w14:textId="77777777" w:rsidR="00363999" w:rsidRPr="00B13ACF" w:rsidRDefault="00363999" w:rsidP="00BD40BF">
            <w:pPr>
              <w:spacing w:before="80" w:after="0"/>
              <w:jc w:val="center"/>
              <w:rPr>
                <w:sz w:val="18"/>
                <w:szCs w:val="18"/>
              </w:rPr>
            </w:pPr>
            <w:r w:rsidRPr="00B13ACF">
              <w:rPr>
                <w:sz w:val="18"/>
                <w:szCs w:val="18"/>
              </w:rPr>
              <w:t>1,17</w:t>
            </w:r>
          </w:p>
        </w:tc>
        <w:tc>
          <w:tcPr>
            <w:tcW w:w="723" w:type="dxa"/>
            <w:vAlign w:val="center"/>
          </w:tcPr>
          <w:p w14:paraId="444CEF61" w14:textId="77777777" w:rsidR="00363999" w:rsidRPr="00B13ACF" w:rsidRDefault="00363999" w:rsidP="00BD40BF">
            <w:pPr>
              <w:spacing w:before="80" w:after="0"/>
              <w:jc w:val="center"/>
              <w:rPr>
                <w:sz w:val="18"/>
                <w:szCs w:val="18"/>
              </w:rPr>
            </w:pPr>
            <w:r w:rsidRPr="00B13ACF">
              <w:rPr>
                <w:sz w:val="18"/>
                <w:szCs w:val="18"/>
              </w:rPr>
              <w:t>1,20</w:t>
            </w:r>
          </w:p>
        </w:tc>
        <w:tc>
          <w:tcPr>
            <w:tcW w:w="724" w:type="dxa"/>
            <w:vAlign w:val="center"/>
          </w:tcPr>
          <w:p w14:paraId="568835ED" w14:textId="77777777" w:rsidR="00363999" w:rsidRPr="00B13ACF" w:rsidRDefault="00363999" w:rsidP="00BD40BF">
            <w:pPr>
              <w:spacing w:before="80" w:after="0"/>
              <w:jc w:val="center"/>
              <w:rPr>
                <w:sz w:val="18"/>
                <w:szCs w:val="18"/>
              </w:rPr>
            </w:pPr>
            <w:r w:rsidRPr="00B13ACF">
              <w:rPr>
                <w:sz w:val="18"/>
                <w:szCs w:val="18"/>
              </w:rPr>
              <w:t>1,22</w:t>
            </w:r>
          </w:p>
        </w:tc>
        <w:tc>
          <w:tcPr>
            <w:tcW w:w="724" w:type="dxa"/>
            <w:vAlign w:val="center"/>
          </w:tcPr>
          <w:p w14:paraId="4289AF32" w14:textId="77777777" w:rsidR="00363999" w:rsidRPr="00B13ACF" w:rsidRDefault="00363999" w:rsidP="00BD40BF">
            <w:pPr>
              <w:spacing w:before="80" w:after="0"/>
              <w:jc w:val="center"/>
              <w:rPr>
                <w:sz w:val="18"/>
                <w:szCs w:val="18"/>
              </w:rPr>
            </w:pPr>
            <w:r w:rsidRPr="00B13ACF">
              <w:rPr>
                <w:sz w:val="18"/>
                <w:szCs w:val="18"/>
              </w:rPr>
              <w:t>1,25</w:t>
            </w:r>
          </w:p>
        </w:tc>
        <w:tc>
          <w:tcPr>
            <w:tcW w:w="724" w:type="dxa"/>
            <w:vAlign w:val="center"/>
          </w:tcPr>
          <w:p w14:paraId="3712F2CC" w14:textId="77777777" w:rsidR="00363999" w:rsidRPr="00B13ACF" w:rsidRDefault="00363999" w:rsidP="00BD40BF">
            <w:pPr>
              <w:spacing w:before="80" w:after="0"/>
              <w:jc w:val="center"/>
              <w:rPr>
                <w:sz w:val="18"/>
                <w:szCs w:val="18"/>
              </w:rPr>
            </w:pPr>
            <w:r w:rsidRPr="00B13ACF">
              <w:rPr>
                <w:sz w:val="18"/>
                <w:szCs w:val="18"/>
              </w:rPr>
              <w:t>1,28</w:t>
            </w:r>
          </w:p>
        </w:tc>
      </w:tr>
    </w:tbl>
    <w:p w14:paraId="3288D24A" w14:textId="77777777" w:rsidR="00363999" w:rsidRPr="00B13ACF" w:rsidRDefault="00363999" w:rsidP="00363999">
      <w:pPr>
        <w:pStyle w:val="Akapitzlist"/>
        <w:spacing w:before="80" w:after="0"/>
        <w:ind w:left="1288"/>
        <w:jc w:val="both"/>
      </w:pPr>
    </w:p>
    <w:p w14:paraId="45F82FC8" w14:textId="77777777" w:rsidR="00363999" w:rsidRPr="00B13ACF" w:rsidRDefault="00363999" w:rsidP="00363999">
      <w:pPr>
        <w:numPr>
          <w:ilvl w:val="0"/>
          <w:numId w:val="1"/>
        </w:numPr>
        <w:spacing w:before="80" w:after="0"/>
        <w:ind w:left="284" w:hanging="284"/>
        <w:jc w:val="both"/>
      </w:pPr>
      <w:r w:rsidRPr="00B13ACF">
        <w:lastRenderedPageBreak/>
        <w:t>Korekta ugięć ze względu na rodzaj podbudowy</w:t>
      </w:r>
    </w:p>
    <w:p w14:paraId="5D4DEFC2" w14:textId="77777777" w:rsidR="00363999" w:rsidRPr="00B13ACF" w:rsidRDefault="00363999" w:rsidP="00363999">
      <w:pPr>
        <w:spacing w:after="0"/>
        <w:ind w:firstLine="426"/>
        <w:jc w:val="both"/>
      </w:pPr>
      <w:r w:rsidRPr="00B13ACF">
        <w:t xml:space="preserve">Współczynnik podbudowy </w:t>
      </w:r>
      <w:proofErr w:type="spellStart"/>
      <w:r w:rsidRPr="00B13ACF">
        <w:t>f</w:t>
      </w:r>
      <w:r w:rsidRPr="00B13ACF">
        <w:rPr>
          <w:vertAlign w:val="subscript"/>
        </w:rPr>
        <w:t>P</w:t>
      </w:r>
      <w:proofErr w:type="spellEnd"/>
      <w:r w:rsidRPr="00B13ACF">
        <w:t xml:space="preserve"> przedstawia się następująco:</w:t>
      </w:r>
    </w:p>
    <w:p w14:paraId="11F3D918" w14:textId="77777777" w:rsidR="00363999" w:rsidRPr="00B13ACF" w:rsidRDefault="00363999" w:rsidP="00661C26">
      <w:pPr>
        <w:pStyle w:val="Akapitzlist"/>
        <w:numPr>
          <w:ilvl w:val="0"/>
          <w:numId w:val="26"/>
        </w:numPr>
        <w:spacing w:after="0"/>
        <w:ind w:left="709" w:hanging="283"/>
        <w:contextualSpacing w:val="0"/>
        <w:jc w:val="both"/>
      </w:pPr>
      <w:r w:rsidRPr="00B13ACF">
        <w:t>nawierzchnie podatne: 1,0</w:t>
      </w:r>
    </w:p>
    <w:p w14:paraId="52DC2B9C" w14:textId="77777777" w:rsidR="00363999" w:rsidRPr="00B13ACF" w:rsidRDefault="00363999" w:rsidP="00661C26">
      <w:pPr>
        <w:pStyle w:val="Akapitzlist"/>
        <w:numPr>
          <w:ilvl w:val="0"/>
          <w:numId w:val="26"/>
        </w:numPr>
        <w:spacing w:after="0"/>
        <w:ind w:left="709" w:hanging="283"/>
        <w:contextualSpacing w:val="0"/>
      </w:pPr>
      <w:r w:rsidRPr="00B13ACF">
        <w:t>nawierzchnie z podbudową z kruszywa lub gruntu stabilizowanego cementem: od 1,0 do 1,1</w:t>
      </w:r>
    </w:p>
    <w:p w14:paraId="6381DADC" w14:textId="1A07E706" w:rsidR="00363999" w:rsidRPr="00B13ACF" w:rsidRDefault="00363999" w:rsidP="00661C26">
      <w:pPr>
        <w:pStyle w:val="Akapitzlist"/>
        <w:numPr>
          <w:ilvl w:val="0"/>
          <w:numId w:val="26"/>
        </w:numPr>
        <w:spacing w:after="0"/>
        <w:ind w:left="709" w:hanging="283"/>
        <w:contextualSpacing w:val="0"/>
        <w:jc w:val="both"/>
      </w:pPr>
      <w:r w:rsidRPr="00B13ACF">
        <w:t xml:space="preserve">nawierzchnie z podbudową z </w:t>
      </w:r>
      <w:r w:rsidR="00984055" w:rsidRPr="00B13ACF">
        <w:t>kruszywa związanego</w:t>
      </w:r>
      <w:r w:rsidRPr="00B13ACF">
        <w:t>: od 1,1 do 1,2</w:t>
      </w:r>
    </w:p>
    <w:p w14:paraId="07B605F0" w14:textId="77777777" w:rsidR="00363999" w:rsidRPr="00B13ACF" w:rsidRDefault="00363999" w:rsidP="00661C26">
      <w:pPr>
        <w:pStyle w:val="Akapitzlist"/>
        <w:numPr>
          <w:ilvl w:val="0"/>
          <w:numId w:val="26"/>
        </w:numPr>
        <w:spacing w:after="0"/>
        <w:ind w:left="709" w:hanging="283"/>
        <w:contextualSpacing w:val="0"/>
        <w:jc w:val="both"/>
      </w:pPr>
      <w:r w:rsidRPr="00B13ACF">
        <w:t>nawierzchnie z podbudową z betonu cementowego: od 1,2 do 1,4</w:t>
      </w:r>
    </w:p>
    <w:p w14:paraId="6D0E7DC2" w14:textId="77777777" w:rsidR="00363999" w:rsidRPr="00B13ACF" w:rsidRDefault="00363999" w:rsidP="00363999">
      <w:pPr>
        <w:spacing w:before="80" w:after="0"/>
        <w:jc w:val="both"/>
      </w:pPr>
      <w:r w:rsidRPr="00B13ACF">
        <w:t xml:space="preserve">Większą wartość tego współczynnika zaleca się przyjmować, gdy ugięcia są mniejsze, a podbudowa sztywniejsza. Dla podbudowy związanej spoiwem hydraulicznym, która uległa znacznym spękaniom zmęczeniowym, współczynnik </w:t>
      </w:r>
      <w:proofErr w:type="spellStart"/>
      <w:r w:rsidRPr="00B13ACF">
        <w:t>f</w:t>
      </w:r>
      <w:r w:rsidRPr="00B13ACF">
        <w:rPr>
          <w:vertAlign w:val="subscript"/>
        </w:rPr>
        <w:t>p</w:t>
      </w:r>
      <w:proofErr w:type="spellEnd"/>
      <w:r w:rsidRPr="00B13ACF">
        <w:t xml:space="preserve"> jest bliski jedności. Aby dobrze oszacować wartość współczynnika </w:t>
      </w:r>
      <w:proofErr w:type="spellStart"/>
      <w:r w:rsidRPr="00B13ACF">
        <w:t>f</w:t>
      </w:r>
      <w:r w:rsidRPr="00B13ACF">
        <w:rPr>
          <w:vertAlign w:val="subscript"/>
        </w:rPr>
        <w:t>p</w:t>
      </w:r>
      <w:proofErr w:type="spellEnd"/>
      <w:r w:rsidRPr="00B13ACF">
        <w:t>, konieczna jest, więc znajomość konstrukcji nawierzchni i ocena stanu podbudowy związanej spoiwem hydraulicznym.</w:t>
      </w:r>
    </w:p>
    <w:p w14:paraId="5FFB76CF" w14:textId="77777777" w:rsidR="00363999" w:rsidRPr="00B13ACF" w:rsidRDefault="00363999" w:rsidP="00363999">
      <w:pPr>
        <w:spacing w:before="80" w:after="0"/>
        <w:jc w:val="both"/>
        <w:rPr>
          <w:rFonts w:eastAsia="Times New Roman"/>
        </w:rPr>
      </w:pPr>
      <w:r w:rsidRPr="00B13ACF">
        <w:rPr>
          <w:rFonts w:eastAsia="Times New Roman"/>
          <w:b/>
          <w:u w:val="single"/>
        </w:rPr>
        <w:t xml:space="preserve">Miarodajny wskaźnik </w:t>
      </w:r>
      <w:r w:rsidRPr="00B13ACF">
        <w:rPr>
          <w:rFonts w:eastAsia="Times New Roman"/>
          <w:b/>
          <w:bCs/>
          <w:u w:val="single"/>
        </w:rPr>
        <w:t>SCI300</w:t>
      </w:r>
      <w:r w:rsidRPr="00B13ACF">
        <w:rPr>
          <w:rFonts w:eastAsia="Times New Roman"/>
        </w:rPr>
        <w:t xml:space="preserve"> jest obliczany jako suma wartości średniej i odchylenia standardowego wskaźników krzywizny ugięcia nawierzchni dla wyników z kilometrowego odcinka drogi. Wartość wyznacza wg wzoru:</w:t>
      </w:r>
    </w:p>
    <w:p w14:paraId="4D09BC70" w14:textId="77777777" w:rsidR="00363999" w:rsidRPr="00B13ACF" w:rsidRDefault="00363999" w:rsidP="00363999">
      <w:pPr>
        <w:spacing w:after="0"/>
        <w:jc w:val="center"/>
        <w:rPr>
          <w:rFonts w:eastAsia="Times New Roman"/>
          <w:b/>
        </w:rPr>
      </w:pPr>
    </w:p>
    <w:p w14:paraId="098EFB58" w14:textId="77777777" w:rsidR="00363999" w:rsidRPr="00B13ACF" w:rsidRDefault="00363999" w:rsidP="00363999">
      <w:pPr>
        <w:spacing w:after="0"/>
        <w:jc w:val="center"/>
        <w:rPr>
          <w:rFonts w:eastAsia="Times New Roman"/>
        </w:rPr>
      </w:pPr>
      <m:oMathPara>
        <m:oMath>
          <m:r>
            <w:rPr>
              <w:rFonts w:ascii="Cambria Math" w:eastAsia="Times New Roman" w:hAnsi="Cambria Math"/>
            </w:rPr>
            <m:t>SCI</m:t>
          </m:r>
          <m:r>
            <m:rPr>
              <m:sty m:val="p"/>
            </m:rPr>
            <w:rPr>
              <w:rFonts w:ascii="Cambria Math" w:eastAsia="Times New Roman" w:hAnsi="Cambria Math"/>
            </w:rPr>
            <m:t>300=</m:t>
          </m:r>
          <m:f>
            <m:fPr>
              <m:ctrlPr>
                <w:rPr>
                  <w:rFonts w:ascii="Cambria Math" w:eastAsia="Times New Roman" w:hAnsi="Cambria Math"/>
                </w:rPr>
              </m:ctrlPr>
            </m:fPr>
            <m:num>
              <m:nary>
                <m:naryPr>
                  <m:chr m:val="∑"/>
                  <m:limLoc m:val="undOvr"/>
                  <m:ctrlPr>
                    <w:rPr>
                      <w:rFonts w:ascii="Cambria Math" w:eastAsia="Times New Roman" w:hAnsi="Cambria Math"/>
                    </w:rPr>
                  </m:ctrlPr>
                </m:naryPr>
                <m:sub>
                  <m:r>
                    <w:rPr>
                      <w:rFonts w:ascii="Cambria Math" w:eastAsia="Times New Roman" w:hAnsi="Cambria Math"/>
                    </w:rPr>
                    <m:t>i</m:t>
                  </m:r>
                  <m:r>
                    <m:rPr>
                      <m:sty m:val="p"/>
                    </m:rPr>
                    <w:rPr>
                      <w:rFonts w:ascii="Cambria Math" w:eastAsia="Times New Roman" w:hAnsi="Cambria Math"/>
                    </w:rPr>
                    <m:t>=1</m:t>
                  </m:r>
                </m:sub>
                <m:sup>
                  <m:r>
                    <w:rPr>
                      <w:rFonts w:ascii="Cambria Math" w:eastAsia="Times New Roman" w:hAnsi="Cambria Math"/>
                    </w:rPr>
                    <m:t>n</m:t>
                  </m:r>
                </m:sup>
                <m:e>
                  <m:sSub>
                    <m:sSubPr>
                      <m:ctrlPr>
                        <w:rPr>
                          <w:rFonts w:ascii="Cambria Math" w:eastAsia="Times New Roman" w:hAnsi="Cambria Math"/>
                        </w:rPr>
                      </m:ctrlPr>
                    </m:sSubPr>
                    <m:e>
                      <m:r>
                        <w:rPr>
                          <w:rFonts w:ascii="Cambria Math" w:eastAsia="Times New Roman" w:hAnsi="Cambria Math"/>
                        </w:rPr>
                        <m:t>sci</m:t>
                      </m:r>
                    </m:e>
                    <m:sub>
                      <m:r>
                        <w:rPr>
                          <w:rFonts w:ascii="Cambria Math" w:eastAsia="Times New Roman" w:hAnsi="Cambria Math"/>
                        </w:rPr>
                        <m:t>i</m:t>
                      </m:r>
                    </m:sub>
                  </m:sSub>
                </m:e>
              </m:nary>
            </m:num>
            <m:den>
              <m:r>
                <w:rPr>
                  <w:rFonts w:ascii="Cambria Math" w:eastAsia="Times New Roman" w:hAnsi="Cambria Math"/>
                </w:rPr>
                <m:t>n</m:t>
              </m:r>
            </m:den>
          </m:f>
          <m:r>
            <m:rPr>
              <m:sty m:val="p"/>
            </m:rPr>
            <w:rPr>
              <w:rFonts w:ascii="Cambria Math" w:eastAsia="Times New Roman" w:hAnsi="Cambria Math"/>
            </w:rPr>
            <m:t>+</m:t>
          </m:r>
          <m:r>
            <w:rPr>
              <w:rFonts w:ascii="Cambria Math" w:eastAsia="Times New Roman" w:hAnsi="Cambria Math"/>
            </w:rPr>
            <m:t>Dsci</m:t>
          </m:r>
        </m:oMath>
      </m:oMathPara>
    </w:p>
    <w:p w14:paraId="4D4D0C99" w14:textId="77777777" w:rsidR="00363999" w:rsidRPr="00B13ACF" w:rsidRDefault="00363999" w:rsidP="00363999">
      <w:pPr>
        <w:spacing w:after="0"/>
        <w:rPr>
          <w:rFonts w:eastAsia="Times New Roman"/>
        </w:rPr>
      </w:pPr>
      <w:r w:rsidRPr="00B13ACF">
        <w:rPr>
          <w:rFonts w:eastAsia="Times New Roman"/>
        </w:rPr>
        <w:t>gdzie:</w:t>
      </w:r>
    </w:p>
    <w:p w14:paraId="1FE93B2D" w14:textId="77777777" w:rsidR="00363999" w:rsidRPr="00B13ACF" w:rsidRDefault="00363999" w:rsidP="00363999">
      <w:pPr>
        <w:tabs>
          <w:tab w:val="left" w:pos="851"/>
        </w:tabs>
        <w:spacing w:after="0"/>
        <w:rPr>
          <w:rFonts w:eastAsia="Times New Roman"/>
        </w:rPr>
      </w:pPr>
      <w:r w:rsidRPr="00B13ACF">
        <w:rPr>
          <w:rFonts w:eastAsia="Times New Roman"/>
        </w:rPr>
        <w:t>SCI300</w:t>
      </w:r>
      <w:r w:rsidRPr="00B13ACF">
        <w:rPr>
          <w:rFonts w:eastAsia="Times New Roman"/>
        </w:rPr>
        <w:tab/>
        <w:t>miarodajny wskaźnik krzywizny ugięcia,</w:t>
      </w:r>
    </w:p>
    <w:p w14:paraId="518FEEE9" w14:textId="77777777" w:rsidR="00363999" w:rsidRPr="00B13ACF" w:rsidRDefault="00363999" w:rsidP="00363999">
      <w:pPr>
        <w:tabs>
          <w:tab w:val="left" w:pos="851"/>
        </w:tabs>
        <w:spacing w:after="0"/>
        <w:ind w:left="993" w:hanging="993"/>
        <w:rPr>
          <w:rFonts w:eastAsia="Times New Roman"/>
        </w:rPr>
      </w:pPr>
      <w:proofErr w:type="spellStart"/>
      <w:r w:rsidRPr="00B13ACF">
        <w:rPr>
          <w:rFonts w:eastAsia="Times New Roman"/>
        </w:rPr>
        <w:t>sci</w:t>
      </w:r>
      <w:proofErr w:type="spellEnd"/>
      <w:r w:rsidRPr="00B13ACF">
        <w:rPr>
          <w:rFonts w:eastAsia="Times New Roman"/>
        </w:rPr>
        <w:tab/>
        <w:t>standaryzowana wartość pojedynczego pomiaru wskaźnika krzywizny ugięcia,</w:t>
      </w:r>
    </w:p>
    <w:p w14:paraId="19CD3803" w14:textId="77777777" w:rsidR="00363999" w:rsidRPr="00B13ACF" w:rsidRDefault="00363999" w:rsidP="00363999">
      <w:pPr>
        <w:tabs>
          <w:tab w:val="left" w:pos="851"/>
        </w:tabs>
        <w:spacing w:after="0"/>
        <w:rPr>
          <w:rFonts w:eastAsia="Times New Roman"/>
        </w:rPr>
      </w:pPr>
      <w:r w:rsidRPr="00B13ACF">
        <w:rPr>
          <w:rFonts w:eastAsia="Times New Roman"/>
        </w:rPr>
        <w:t>n</w:t>
      </w:r>
      <w:r w:rsidRPr="00B13ACF">
        <w:rPr>
          <w:rFonts w:eastAsia="Times New Roman"/>
        </w:rPr>
        <w:tab/>
        <w:t>liczba ugięć standaryzowanych na odcinku.</w:t>
      </w:r>
    </w:p>
    <w:p w14:paraId="70EA9CFC" w14:textId="77777777" w:rsidR="00363999" w:rsidRPr="00B13ACF" w:rsidRDefault="00363999" w:rsidP="00363999">
      <w:pPr>
        <w:tabs>
          <w:tab w:val="left" w:pos="851"/>
        </w:tabs>
        <w:spacing w:after="0"/>
        <w:ind w:left="851" w:hanging="851"/>
        <w:rPr>
          <w:rFonts w:eastAsia="Times New Roman"/>
        </w:rPr>
      </w:pPr>
      <w:proofErr w:type="spellStart"/>
      <w:r w:rsidRPr="00B13ACF">
        <w:rPr>
          <w:rFonts w:eastAsia="Times New Roman"/>
        </w:rPr>
        <w:t>Dsci</w:t>
      </w:r>
      <w:proofErr w:type="spellEnd"/>
      <w:r w:rsidRPr="00B13ACF">
        <w:rPr>
          <w:rFonts w:eastAsia="Times New Roman"/>
        </w:rPr>
        <w:tab/>
        <w:t>odchylenie standardowe standaryzowanych wartości pojedynczych pomiarów wskaźnika krzywizny ugięcia na odcinku miarodajnym.</w:t>
      </w:r>
    </w:p>
    <w:p w14:paraId="73955DD7" w14:textId="77777777" w:rsidR="00363999" w:rsidRPr="00B13ACF" w:rsidRDefault="00363999" w:rsidP="00363999">
      <w:pPr>
        <w:tabs>
          <w:tab w:val="left" w:pos="851"/>
        </w:tabs>
        <w:spacing w:before="80" w:after="0"/>
        <w:rPr>
          <w:rFonts w:eastAsia="Times New Roman"/>
        </w:rPr>
      </w:pPr>
      <w:r w:rsidRPr="00B13ACF">
        <w:rPr>
          <w:rFonts w:eastAsia="Times New Roman"/>
        </w:rPr>
        <w:t xml:space="preserve">Standaryzowana wartość pojedynczego pomiaru wskaźnika krzywizny ugięcia </w:t>
      </w:r>
      <w:proofErr w:type="spellStart"/>
      <w:r w:rsidRPr="00B13ACF">
        <w:rPr>
          <w:rFonts w:eastAsia="Times New Roman"/>
        </w:rPr>
        <w:t>sci</w:t>
      </w:r>
      <w:proofErr w:type="spellEnd"/>
      <w:r w:rsidRPr="00B13ACF">
        <w:rPr>
          <w:rFonts w:eastAsia="Times New Roman"/>
        </w:rPr>
        <w:t>:</w:t>
      </w:r>
    </w:p>
    <w:p w14:paraId="443DE955" w14:textId="77777777" w:rsidR="00363999" w:rsidRPr="00B13ACF" w:rsidRDefault="00363999" w:rsidP="00363999">
      <w:pPr>
        <w:spacing w:after="0"/>
        <w:ind w:left="284"/>
        <w:jc w:val="center"/>
      </w:pPr>
      <w:proofErr w:type="spellStart"/>
      <w:r w:rsidRPr="00B13ACF">
        <w:t>sci</w:t>
      </w:r>
      <w:proofErr w:type="spellEnd"/>
      <w:r w:rsidRPr="00B13ACF">
        <w:t xml:space="preserve"> = D0 - D300</w:t>
      </w:r>
    </w:p>
    <w:p w14:paraId="162D2ED5" w14:textId="674205A8" w:rsidR="00363999" w:rsidRPr="00B13ACF" w:rsidRDefault="00DB5D3C" w:rsidP="00363999">
      <w:pPr>
        <w:spacing w:after="0"/>
        <w:jc w:val="both"/>
      </w:pPr>
      <w:r w:rsidRPr="00B13ACF">
        <w:t>gdzie:</w:t>
      </w:r>
    </w:p>
    <w:p w14:paraId="5E6A69C2" w14:textId="77777777" w:rsidR="00363999" w:rsidRPr="00B13ACF" w:rsidRDefault="00363999" w:rsidP="00363999">
      <w:pPr>
        <w:tabs>
          <w:tab w:val="left" w:pos="851"/>
        </w:tabs>
        <w:spacing w:after="0"/>
      </w:pPr>
      <w:r w:rsidRPr="00B13ACF">
        <w:t>D0</w:t>
      </w:r>
      <w:r w:rsidRPr="00B13ACF">
        <w:tab/>
        <w:t>ugięcie w punkcie centralnym,</w:t>
      </w:r>
    </w:p>
    <w:p w14:paraId="33682326" w14:textId="77777777" w:rsidR="00363999" w:rsidRPr="00B13ACF" w:rsidRDefault="00363999" w:rsidP="00363999">
      <w:pPr>
        <w:tabs>
          <w:tab w:val="left" w:pos="851"/>
        </w:tabs>
        <w:spacing w:after="0"/>
      </w:pPr>
      <w:r w:rsidRPr="00B13ACF">
        <w:t>D300</w:t>
      </w:r>
      <w:r w:rsidRPr="00B13ACF">
        <w:tab/>
        <w:t>ugięcie w punkcie oddalonym o 300 mm od punktu centralnego.</w:t>
      </w:r>
    </w:p>
    <w:p w14:paraId="3D194352" w14:textId="77777777" w:rsidR="00363999" w:rsidRPr="00B13ACF" w:rsidRDefault="00363999" w:rsidP="00363999">
      <w:pPr>
        <w:spacing w:before="80" w:after="0"/>
        <w:jc w:val="both"/>
        <w:rPr>
          <w:rFonts w:eastAsia="Times New Roman"/>
        </w:rPr>
      </w:pPr>
      <w:r w:rsidRPr="00B13ACF">
        <w:rPr>
          <w:rFonts w:eastAsia="Times New Roman"/>
        </w:rPr>
        <w:t>Wynik obliczeń zaokrągla się zgodnie z ogólnymi zasadami.</w:t>
      </w:r>
    </w:p>
    <w:p w14:paraId="0D386474" w14:textId="77777777" w:rsidR="00363999" w:rsidRPr="00B13ACF" w:rsidRDefault="00363999" w:rsidP="00363999">
      <w:pPr>
        <w:spacing w:before="80" w:after="0"/>
        <w:jc w:val="both"/>
      </w:pPr>
      <w:r w:rsidRPr="00B13ACF">
        <w:t>W przypadkach szczególnych (wystąpienie uszkodzeń nawierzchni typu: spękania, koleiny, nierówności czy też przekroczenie wymaganych wartości przez którykolwiek ze wskaźników) dopuszcza się przeprowadzenie dokładnych analiz i badań w oparciu o dane szczegółowe (grubości warstw konstrukcji, ilości osi obliczeniowych itp.) w celu wyznaczenia rzeczywistej pozostałej trwałości zmęczeniowej nawierzchni.</w:t>
      </w:r>
    </w:p>
    <w:p w14:paraId="535E993E" w14:textId="0DDE595A" w:rsidR="00673143" w:rsidRPr="00F22131" w:rsidRDefault="00363999" w:rsidP="00DB1829">
      <w:pPr>
        <w:numPr>
          <w:ilvl w:val="1"/>
          <w:numId w:val="2"/>
        </w:numPr>
        <w:spacing w:before="80" w:after="0"/>
        <w:ind w:left="567" w:hanging="567"/>
        <w:jc w:val="both"/>
        <w:rPr>
          <w:strike/>
          <w:color w:val="FF0000"/>
        </w:rPr>
      </w:pPr>
      <w:r w:rsidRPr="00B13ACF">
        <w:rPr>
          <w:b/>
        </w:rPr>
        <w:br w:type="page"/>
      </w:r>
    </w:p>
    <w:p w14:paraId="5AD564A9" w14:textId="77777777" w:rsidR="00363999" w:rsidRPr="00B13ACF" w:rsidRDefault="00363999" w:rsidP="00363999">
      <w:pPr>
        <w:pStyle w:val="Nagwek2"/>
        <w:numPr>
          <w:ilvl w:val="0"/>
          <w:numId w:val="2"/>
        </w:numPr>
        <w:spacing w:before="80" w:after="0"/>
        <w:ind w:left="567" w:hanging="567"/>
      </w:pPr>
      <w:bookmarkStart w:id="29" w:name="_Toc485902166"/>
      <w:bookmarkStart w:id="30" w:name="_Toc488734255"/>
      <w:bookmarkStart w:id="31" w:name="_Toc488735826"/>
      <w:bookmarkStart w:id="32" w:name="_Toc488735889"/>
      <w:bookmarkStart w:id="33" w:name="_Toc488736097"/>
      <w:bookmarkStart w:id="34" w:name="_Toc488736132"/>
      <w:bookmarkStart w:id="35" w:name="_Toc485902167"/>
      <w:bookmarkStart w:id="36" w:name="_Toc488734256"/>
      <w:bookmarkStart w:id="37" w:name="_Toc488735827"/>
      <w:bookmarkStart w:id="38" w:name="_Toc488735890"/>
      <w:bookmarkStart w:id="39" w:name="_Toc488736133"/>
      <w:bookmarkStart w:id="40" w:name="_Toc485902168"/>
      <w:bookmarkStart w:id="41" w:name="_Toc488734257"/>
      <w:bookmarkStart w:id="42" w:name="_Toc488735828"/>
      <w:bookmarkStart w:id="43" w:name="_Toc488735891"/>
      <w:bookmarkStart w:id="44" w:name="_Toc488736098"/>
      <w:bookmarkStart w:id="45" w:name="_Toc488736134"/>
      <w:bookmarkStart w:id="46" w:name="_Toc485902169"/>
      <w:bookmarkStart w:id="47" w:name="_Toc488734258"/>
      <w:bookmarkStart w:id="48" w:name="_Toc488735829"/>
      <w:bookmarkStart w:id="49" w:name="_Toc488735892"/>
      <w:bookmarkStart w:id="50" w:name="_Toc488736099"/>
      <w:bookmarkStart w:id="51" w:name="_Toc488736135"/>
      <w:bookmarkStart w:id="52" w:name="_Toc485902170"/>
      <w:bookmarkStart w:id="53" w:name="_Toc488734259"/>
      <w:bookmarkStart w:id="54" w:name="_Toc488735830"/>
      <w:bookmarkStart w:id="55" w:name="_Toc488735893"/>
      <w:bookmarkStart w:id="56" w:name="_Toc488736100"/>
      <w:bookmarkStart w:id="57" w:name="_Toc488736136"/>
      <w:bookmarkStart w:id="58" w:name="_Toc485902171"/>
      <w:bookmarkStart w:id="59" w:name="_Toc488734260"/>
      <w:bookmarkStart w:id="60" w:name="_Toc488735831"/>
      <w:bookmarkStart w:id="61" w:name="_Toc488735894"/>
      <w:bookmarkStart w:id="62" w:name="_Toc488736101"/>
      <w:bookmarkStart w:id="63" w:name="_Toc488736137"/>
      <w:bookmarkStart w:id="64" w:name="_Toc485902172"/>
      <w:bookmarkStart w:id="65" w:name="_Toc488734261"/>
      <w:bookmarkStart w:id="66" w:name="_Toc488735832"/>
      <w:bookmarkStart w:id="67" w:name="_Toc488735895"/>
      <w:bookmarkStart w:id="68" w:name="_Toc488736102"/>
      <w:bookmarkStart w:id="69" w:name="_Toc488736138"/>
      <w:bookmarkStart w:id="70" w:name="_Toc485902173"/>
      <w:bookmarkStart w:id="71" w:name="_Toc488734262"/>
      <w:bookmarkStart w:id="72" w:name="_Toc488735833"/>
      <w:bookmarkStart w:id="73" w:name="_Toc488735896"/>
      <w:bookmarkStart w:id="74" w:name="_Toc488736103"/>
      <w:bookmarkStart w:id="75" w:name="_Toc488736139"/>
      <w:bookmarkStart w:id="76" w:name="_Toc485902174"/>
      <w:bookmarkStart w:id="77" w:name="_Toc488734263"/>
      <w:bookmarkStart w:id="78" w:name="_Toc488735834"/>
      <w:bookmarkStart w:id="79" w:name="_Toc488735897"/>
      <w:bookmarkStart w:id="80" w:name="_Toc488736104"/>
      <w:bookmarkStart w:id="81" w:name="_Toc488736140"/>
      <w:bookmarkStart w:id="82" w:name="_Toc485902175"/>
      <w:bookmarkStart w:id="83" w:name="_Toc488734264"/>
      <w:bookmarkStart w:id="84" w:name="_Toc488735835"/>
      <w:bookmarkStart w:id="85" w:name="_Toc488735898"/>
      <w:bookmarkStart w:id="86" w:name="_Toc488736105"/>
      <w:bookmarkStart w:id="87" w:name="_Toc488736141"/>
      <w:bookmarkStart w:id="88" w:name="_Toc485902176"/>
      <w:bookmarkStart w:id="89" w:name="_Toc488734265"/>
      <w:bookmarkStart w:id="90" w:name="_Toc488735836"/>
      <w:bookmarkStart w:id="91" w:name="_Toc488735899"/>
      <w:bookmarkStart w:id="92" w:name="_Toc488736106"/>
      <w:bookmarkStart w:id="93" w:name="_Toc488736142"/>
      <w:bookmarkStart w:id="94" w:name="_Toc485902177"/>
      <w:bookmarkStart w:id="95" w:name="_Toc488734266"/>
      <w:bookmarkStart w:id="96" w:name="_Toc488735837"/>
      <w:bookmarkStart w:id="97" w:name="_Toc488735900"/>
      <w:bookmarkStart w:id="98" w:name="_Toc488736107"/>
      <w:bookmarkStart w:id="99" w:name="_Toc488736143"/>
      <w:bookmarkStart w:id="100" w:name="_Toc485902178"/>
      <w:bookmarkStart w:id="101" w:name="_Toc488734267"/>
      <w:bookmarkStart w:id="102" w:name="_Toc488735838"/>
      <w:bookmarkStart w:id="103" w:name="_Toc488735901"/>
      <w:bookmarkStart w:id="104" w:name="_Toc488736108"/>
      <w:bookmarkStart w:id="105" w:name="_Toc488736144"/>
      <w:bookmarkStart w:id="106" w:name="_Toc485902179"/>
      <w:bookmarkStart w:id="107" w:name="_Toc488734268"/>
      <w:bookmarkStart w:id="108" w:name="_Toc488735839"/>
      <w:bookmarkStart w:id="109" w:name="_Toc488735902"/>
      <w:bookmarkStart w:id="110" w:name="_Toc488736109"/>
      <w:bookmarkStart w:id="111" w:name="_Toc488736145"/>
      <w:bookmarkStart w:id="112" w:name="_Toc408484183"/>
      <w:bookmarkStart w:id="113" w:name="_Toc455047576"/>
      <w:bookmarkStart w:id="114" w:name="_Toc488736146"/>
      <w:bookmarkStart w:id="115" w:name="_Toc533170545"/>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B13ACF">
        <w:rPr>
          <w:szCs w:val="20"/>
        </w:rPr>
        <w:lastRenderedPageBreak/>
        <w:t>OZNAKOWANIE DRÓG</w:t>
      </w:r>
      <w:bookmarkEnd w:id="112"/>
      <w:bookmarkEnd w:id="113"/>
      <w:r w:rsidRPr="00B13ACF">
        <w:rPr>
          <w:szCs w:val="20"/>
        </w:rPr>
        <w:t xml:space="preserve"> ORAZ URZĄDZENIA BRD</w:t>
      </w:r>
      <w:bookmarkStart w:id="116" w:name="_Toc488734270"/>
      <w:bookmarkStart w:id="117" w:name="_Toc488735841"/>
      <w:bookmarkStart w:id="118" w:name="_Toc488735904"/>
      <w:bookmarkStart w:id="119" w:name="_Toc488736111"/>
      <w:bookmarkStart w:id="120" w:name="_Toc488736147"/>
      <w:bookmarkStart w:id="121" w:name="_Toc488736112"/>
      <w:bookmarkEnd w:id="114"/>
      <w:bookmarkEnd w:id="115"/>
      <w:bookmarkEnd w:id="116"/>
      <w:bookmarkEnd w:id="117"/>
      <w:bookmarkEnd w:id="118"/>
      <w:bookmarkEnd w:id="119"/>
      <w:bookmarkEnd w:id="120"/>
      <w:bookmarkEnd w:id="121"/>
    </w:p>
    <w:p w14:paraId="47839550" w14:textId="7293F306" w:rsidR="00363999" w:rsidRPr="00B13ACF" w:rsidRDefault="00363999" w:rsidP="00363999">
      <w:pPr>
        <w:spacing w:before="80" w:after="0"/>
        <w:jc w:val="both"/>
      </w:pPr>
      <w:r w:rsidRPr="00B13ACF">
        <w:t xml:space="preserve">Kontrola elementów oznakowania poziomego i pionowego </w:t>
      </w:r>
      <w:r w:rsidR="00524487" w:rsidRPr="00B13ACF">
        <w:t xml:space="preserve">oraz i urządzeń bezpieczeństwa ruchu drogowego </w:t>
      </w:r>
      <w:r w:rsidRPr="00B13ACF">
        <w:t>odbywać się będzie w oparciu o przepisy rozporządzenia Ministra Infrastruktury z dnia 3 lipca 2003 r. w sprawie szczegółowych warunków technicznych dla znaków i sygnałów drogowych oraz urządzeń bezpieczeństwa ruchu drogowego i warunków ich umieszczania na drogach (Dz. U. Nr 220, poz. 2181, z późniejszymi zmianami).</w:t>
      </w:r>
    </w:p>
    <w:p w14:paraId="1E0409D0" w14:textId="51B767EB" w:rsidR="00363999" w:rsidRPr="00B13ACF" w:rsidRDefault="00363999" w:rsidP="00363999">
      <w:pPr>
        <w:spacing w:before="80" w:after="0"/>
        <w:jc w:val="both"/>
      </w:pPr>
      <w:r w:rsidRPr="00B13ACF">
        <w:t>Wszystkie elementy oznakowania poziomego i pionowego powinny zachować trwałość i utrzymanie wymaganych parametrów (takich, jak widoczność, odblaskowość) zgodnie z dokumentem odniesienia wymienionym w powyższym punkcie</w:t>
      </w:r>
      <w:r w:rsidR="008E1A1A" w:rsidRPr="00B13ACF">
        <w:t xml:space="preserve"> oraz specyfikacjach technicznych (</w:t>
      </w:r>
      <w:proofErr w:type="spellStart"/>
      <w:r w:rsidR="008E1A1A" w:rsidRPr="00B13ACF">
        <w:t>STWiORB</w:t>
      </w:r>
      <w:proofErr w:type="spellEnd"/>
      <w:r w:rsidR="008E1A1A" w:rsidRPr="00B13ACF">
        <w:t>)</w:t>
      </w:r>
      <w:r w:rsidRPr="00B13ACF">
        <w:t xml:space="preserve"> w całym okresie przewidzianym gwarancją.</w:t>
      </w:r>
    </w:p>
    <w:p w14:paraId="410D981D" w14:textId="77777777" w:rsidR="00363999" w:rsidRPr="00B13ACF" w:rsidRDefault="00363999" w:rsidP="00363999">
      <w:pPr>
        <w:spacing w:before="80" w:after="0"/>
        <w:jc w:val="both"/>
      </w:pPr>
    </w:p>
    <w:p w14:paraId="41916B93" w14:textId="77777777" w:rsidR="00363999" w:rsidRPr="00B13ACF" w:rsidRDefault="00363999" w:rsidP="00363999">
      <w:pPr>
        <w:pStyle w:val="Nagwek2"/>
        <w:numPr>
          <w:ilvl w:val="0"/>
          <w:numId w:val="2"/>
        </w:numPr>
        <w:spacing w:before="80" w:after="0"/>
        <w:ind w:left="567" w:hanging="567"/>
        <w:rPr>
          <w:szCs w:val="20"/>
        </w:rPr>
      </w:pPr>
      <w:bookmarkStart w:id="122" w:name="_Toc408484184"/>
      <w:bookmarkStart w:id="123" w:name="_Toc455047577"/>
      <w:bookmarkStart w:id="124" w:name="_Toc533170546"/>
      <w:r w:rsidRPr="00B13ACF">
        <w:rPr>
          <w:szCs w:val="20"/>
        </w:rPr>
        <w:t>ZIELEŃ</w:t>
      </w:r>
      <w:bookmarkEnd w:id="122"/>
      <w:bookmarkEnd w:id="123"/>
      <w:bookmarkEnd w:id="124"/>
    </w:p>
    <w:p w14:paraId="34BFC320" w14:textId="77777777" w:rsidR="008E1A1A" w:rsidRPr="00B13ACF" w:rsidRDefault="008E1A1A" w:rsidP="008E1A1A">
      <w:pPr>
        <w:numPr>
          <w:ilvl w:val="1"/>
          <w:numId w:val="2"/>
        </w:numPr>
        <w:spacing w:before="80" w:after="0"/>
        <w:ind w:left="567" w:hanging="567"/>
        <w:jc w:val="both"/>
      </w:pPr>
      <w:r w:rsidRPr="00B13ACF">
        <w:t>Kontrola jakości humusowania i obsiania skarp, rowów i terenów płaskich</w:t>
      </w:r>
    </w:p>
    <w:p w14:paraId="3BAD67A2" w14:textId="77777777" w:rsidR="008E1A1A" w:rsidRPr="00B13ACF" w:rsidRDefault="008E1A1A" w:rsidP="008E1A1A">
      <w:pPr>
        <w:spacing w:before="80" w:after="0"/>
        <w:ind w:left="567"/>
        <w:jc w:val="both"/>
      </w:pPr>
      <w:r w:rsidRPr="00B13ACF">
        <w:t>W okresie gwarancji łączna powierzchnia nieporośniętych miejsc nie powinna być większa niż 2% wszystkich obsianych powierzchni, a maksymalny wymiar pojedynczych niezadarnionych powierzchni nie powinien przekraczać 0,5 m</w:t>
      </w:r>
      <w:r w:rsidRPr="00B13ACF">
        <w:rPr>
          <w:vertAlign w:val="superscript"/>
        </w:rPr>
        <w:t>2</w:t>
      </w:r>
      <w:r w:rsidRPr="00B13ACF">
        <w:t>. Nie dopuszcza się występowania jakichkolwiek wyżłobień erozyjnych ani lokalnych zsuwów i obrywów.</w:t>
      </w:r>
    </w:p>
    <w:p w14:paraId="100E538C" w14:textId="77777777" w:rsidR="008E1A1A" w:rsidRPr="00B13ACF" w:rsidRDefault="008E1A1A" w:rsidP="008E1A1A">
      <w:pPr>
        <w:numPr>
          <w:ilvl w:val="1"/>
          <w:numId w:val="2"/>
        </w:numPr>
        <w:spacing w:before="80" w:after="0"/>
        <w:ind w:left="567" w:hanging="567"/>
        <w:jc w:val="both"/>
      </w:pPr>
      <w:r w:rsidRPr="00B13ACF">
        <w:t>Kontrola jakości nasadzonych drzew, krzewów i pnączy</w:t>
      </w:r>
    </w:p>
    <w:p w14:paraId="10A7E779" w14:textId="77777777" w:rsidR="008E1A1A" w:rsidRPr="00B13ACF" w:rsidRDefault="008E1A1A" w:rsidP="008E1A1A">
      <w:pPr>
        <w:spacing w:before="80" w:after="0"/>
        <w:ind w:left="567"/>
        <w:jc w:val="both"/>
      </w:pPr>
      <w:r w:rsidRPr="00B13ACF">
        <w:t xml:space="preserve">W okresie gwarancji udatność </w:t>
      </w:r>
      <w:proofErr w:type="spellStart"/>
      <w:r w:rsidRPr="00B13ACF">
        <w:t>nasadzeń</w:t>
      </w:r>
      <w:proofErr w:type="spellEnd"/>
      <w:r w:rsidRPr="00B13ACF">
        <w:t xml:space="preserve"> nie będzie niższa niż:</w:t>
      </w:r>
    </w:p>
    <w:p w14:paraId="1467B69F" w14:textId="77777777" w:rsidR="008E1A1A" w:rsidRPr="00B13ACF" w:rsidRDefault="008E1A1A" w:rsidP="008E1A1A">
      <w:pPr>
        <w:numPr>
          <w:ilvl w:val="0"/>
          <w:numId w:val="18"/>
        </w:numPr>
        <w:spacing w:after="0"/>
        <w:ind w:left="567" w:firstLine="0"/>
        <w:jc w:val="both"/>
      </w:pPr>
      <w:r w:rsidRPr="00B13ACF">
        <w:t>95% dla krzewów;</w:t>
      </w:r>
    </w:p>
    <w:p w14:paraId="69D5A4EF" w14:textId="77777777" w:rsidR="008E1A1A" w:rsidRPr="00B13ACF" w:rsidRDefault="008E1A1A" w:rsidP="008E1A1A">
      <w:pPr>
        <w:numPr>
          <w:ilvl w:val="0"/>
          <w:numId w:val="18"/>
        </w:numPr>
        <w:spacing w:after="0"/>
        <w:ind w:left="567" w:firstLine="0"/>
        <w:jc w:val="both"/>
      </w:pPr>
      <w:r w:rsidRPr="00B13ACF">
        <w:t>80% dla drzew szkółkarskich (szkółki leśne);</w:t>
      </w:r>
    </w:p>
    <w:p w14:paraId="44256759" w14:textId="77777777" w:rsidR="008E1A1A" w:rsidRPr="00B13ACF" w:rsidRDefault="008E1A1A" w:rsidP="008E1A1A">
      <w:pPr>
        <w:numPr>
          <w:ilvl w:val="0"/>
          <w:numId w:val="18"/>
        </w:numPr>
        <w:spacing w:after="0"/>
        <w:ind w:left="567" w:firstLine="0"/>
        <w:jc w:val="both"/>
      </w:pPr>
      <w:r w:rsidRPr="00B13ACF">
        <w:t>98% dla drzew w szpalerze;</w:t>
      </w:r>
    </w:p>
    <w:p w14:paraId="69FAAB34" w14:textId="77777777" w:rsidR="008E1A1A" w:rsidRPr="00B13ACF" w:rsidRDefault="008E1A1A" w:rsidP="008E1A1A">
      <w:pPr>
        <w:numPr>
          <w:ilvl w:val="0"/>
          <w:numId w:val="18"/>
        </w:numPr>
        <w:spacing w:after="0"/>
        <w:ind w:left="567" w:firstLine="0"/>
        <w:jc w:val="both"/>
      </w:pPr>
      <w:r w:rsidRPr="00B13ACF">
        <w:t>80% dla pnączy.</w:t>
      </w:r>
    </w:p>
    <w:p w14:paraId="0957FD9A" w14:textId="5086DCFB" w:rsidR="007551C1" w:rsidRPr="00B13ACF" w:rsidRDefault="007551C1">
      <w:pPr>
        <w:spacing w:after="160" w:line="259" w:lineRule="auto"/>
      </w:pPr>
    </w:p>
    <w:p w14:paraId="3B110CBF" w14:textId="77777777" w:rsidR="005F574F" w:rsidRPr="00B13ACF" w:rsidRDefault="005F574F" w:rsidP="005F574F">
      <w:pPr>
        <w:keepNext/>
        <w:numPr>
          <w:ilvl w:val="0"/>
          <w:numId w:val="2"/>
        </w:numPr>
        <w:spacing w:before="80" w:after="0"/>
        <w:ind w:left="426" w:hanging="426"/>
        <w:outlineLvl w:val="1"/>
        <w:rPr>
          <w:rFonts w:eastAsia="Times New Roman"/>
          <w:b/>
          <w:bCs/>
          <w:iCs/>
        </w:rPr>
      </w:pPr>
      <w:bookmarkStart w:id="125" w:name="_Toc485902183"/>
      <w:bookmarkStart w:id="126" w:name="_Toc488734273"/>
      <w:bookmarkStart w:id="127" w:name="_Toc488735844"/>
      <w:bookmarkStart w:id="128" w:name="_Toc488735907"/>
      <w:bookmarkStart w:id="129" w:name="_Toc488736114"/>
      <w:bookmarkStart w:id="130" w:name="_Toc488736150"/>
      <w:bookmarkStart w:id="131" w:name="_Toc488735845"/>
      <w:bookmarkStart w:id="132" w:name="_Toc488735908"/>
      <w:bookmarkStart w:id="133" w:name="_Toc488736115"/>
      <w:bookmarkStart w:id="134" w:name="_Toc488736151"/>
      <w:bookmarkStart w:id="135" w:name="_Toc488735846"/>
      <w:bookmarkStart w:id="136" w:name="_Toc488735909"/>
      <w:bookmarkStart w:id="137" w:name="_Toc488736116"/>
      <w:bookmarkStart w:id="138" w:name="_Toc488736152"/>
      <w:bookmarkStart w:id="139" w:name="_Toc533170548"/>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B13ACF">
        <w:rPr>
          <w:rFonts w:eastAsia="Times New Roman"/>
          <w:b/>
          <w:bCs/>
          <w:iCs/>
        </w:rPr>
        <w:t>DROGOWE OBIEKTY INŻYNIERSKIE</w:t>
      </w:r>
      <w:bookmarkEnd w:id="139"/>
    </w:p>
    <w:p w14:paraId="1822CBB6" w14:textId="77777777" w:rsidR="005F574F" w:rsidRPr="00B13ACF" w:rsidRDefault="005F574F" w:rsidP="005F574F">
      <w:pPr>
        <w:numPr>
          <w:ilvl w:val="1"/>
          <w:numId w:val="2"/>
        </w:numPr>
        <w:spacing w:before="80" w:after="0"/>
        <w:ind w:left="709" w:hanging="709"/>
        <w:jc w:val="both"/>
        <w:rPr>
          <w:b/>
        </w:rPr>
      </w:pPr>
      <w:r w:rsidRPr="00B13ACF">
        <w:rPr>
          <w:b/>
        </w:rPr>
        <w:t>Wskaźniki</w:t>
      </w:r>
    </w:p>
    <w:p w14:paraId="09EDD42C" w14:textId="77777777" w:rsidR="005F574F" w:rsidRPr="00B13ACF" w:rsidRDefault="005F574F" w:rsidP="005F574F">
      <w:pPr>
        <w:numPr>
          <w:ilvl w:val="2"/>
          <w:numId w:val="2"/>
        </w:numPr>
        <w:spacing w:after="0"/>
        <w:ind w:left="709" w:hanging="709"/>
        <w:jc w:val="both"/>
      </w:pPr>
      <w:r w:rsidRPr="00B13ACF">
        <w:t>Każdy element drogowego obiektu inżynierskiego będzie podlegać ocenie stanu technicznego, zgodnie z „Instrukcją przeprowadzania przeglądów podstawowych i rozszerzonych drogowych obiektów inżynierskich”, wprowadzoną do stosowania Zarządzeniem nr 14 Generalnego Dyrektora Dróg Krajowych i Autostrad z dnia 7 lipca 2005 r. z późniejszymi zmianami, oraz zgodnie z „Zasadami stosowania skali ocen punktowych stanu technicznego i przydatności do użytkowania drogowych obiektów inżynierskich”, wprowadzonymi do stosowania Zarządzeniem nr 64 Generalnego Dyrektora Dróg Krajowych i Autostrad z dnia 13 listopada 2008 r.</w:t>
      </w:r>
    </w:p>
    <w:p w14:paraId="03F1414D" w14:textId="4199EB3C" w:rsidR="005F574F" w:rsidRPr="00B13ACF" w:rsidRDefault="005F574F" w:rsidP="005F574F">
      <w:pPr>
        <w:numPr>
          <w:ilvl w:val="2"/>
          <w:numId w:val="2"/>
        </w:numPr>
        <w:spacing w:after="0"/>
        <w:ind w:left="709" w:hanging="709"/>
        <w:jc w:val="both"/>
      </w:pPr>
      <w:r w:rsidRPr="00B13ACF">
        <w:t>Końcową oceną stanu technicznego każdego elementu drogowego obiektu inżynierskiego będzie najniższa z ocen cząstkowych określonych zgodnie z</w:t>
      </w:r>
      <w:r w:rsidR="007551C1" w:rsidRPr="00B13ACF">
        <w:t> </w:t>
      </w:r>
      <w:r w:rsidRPr="00B13ACF">
        <w:t>„Zasadami stosowania skali ocen punktowych stanu technicznego i przydatności do użytkowania drogowych obiektów inżynierskich”.</w:t>
      </w:r>
    </w:p>
    <w:p w14:paraId="5962EBFB" w14:textId="77777777" w:rsidR="005F574F" w:rsidRPr="00B13ACF" w:rsidRDefault="005F574F" w:rsidP="005F574F">
      <w:pPr>
        <w:numPr>
          <w:ilvl w:val="2"/>
          <w:numId w:val="2"/>
        </w:numPr>
        <w:spacing w:after="0"/>
        <w:ind w:left="709" w:hanging="709"/>
        <w:jc w:val="both"/>
      </w:pPr>
      <w:r w:rsidRPr="00B13ACF">
        <w:t>W końcowej ocenie stanu technicznego każdego elementu nie będą uwzględniane jako rodzaj uszkodzenia – zanieczyszczenia i wegetacja roślin, zgodnie z katalogiem uszkodzeń zawartym w „Instrukcji przeprowadzania przeglądów podstawowych i rozszerzonych drogowych obiektów inżynierskich”.</w:t>
      </w:r>
    </w:p>
    <w:p w14:paraId="4303E130" w14:textId="77777777" w:rsidR="005F574F" w:rsidRPr="00B13ACF" w:rsidRDefault="005F574F" w:rsidP="005F574F">
      <w:pPr>
        <w:numPr>
          <w:ilvl w:val="2"/>
          <w:numId w:val="2"/>
        </w:numPr>
        <w:spacing w:after="0"/>
        <w:ind w:left="709" w:hanging="709"/>
        <w:jc w:val="both"/>
      </w:pPr>
      <w:r w:rsidRPr="00B13ACF">
        <w:t xml:space="preserve">Do oceny elementów nie będą wliczane oceny cząstkowe dotyczące rodzaju uszkodzeń, zgodnie z „Zasadami stosowania skali ocen punktowych stanu technicznego i przydatności do użytkowania drogowych obiektów inżynierskich”, </w:t>
      </w:r>
      <w:r w:rsidRPr="00B13ACF">
        <w:lastRenderedPageBreak/>
        <w:t>które wystąpiły na skutek zdarzeń losowych, tj. uszkodzeń elementów obiektu niewynikających z warunków normalnej eksploatacji.</w:t>
      </w:r>
    </w:p>
    <w:p w14:paraId="06E2C296" w14:textId="77777777" w:rsidR="005F574F" w:rsidRPr="00B13ACF" w:rsidRDefault="005F574F" w:rsidP="005F574F">
      <w:pPr>
        <w:numPr>
          <w:ilvl w:val="2"/>
          <w:numId w:val="2"/>
        </w:numPr>
        <w:spacing w:after="0"/>
        <w:ind w:left="709" w:hanging="709"/>
        <w:jc w:val="both"/>
      </w:pPr>
      <w:r w:rsidRPr="00B13ACF">
        <w:t>Nawierzchnia jezdni:</w:t>
      </w:r>
    </w:p>
    <w:p w14:paraId="444FA74B" w14:textId="77777777" w:rsidR="005F574F" w:rsidRPr="00B13ACF" w:rsidRDefault="005F574F" w:rsidP="005F574F">
      <w:pPr>
        <w:numPr>
          <w:ilvl w:val="0"/>
          <w:numId w:val="31"/>
        </w:numPr>
        <w:spacing w:after="0"/>
        <w:ind w:left="993" w:hanging="284"/>
        <w:jc w:val="both"/>
      </w:pPr>
      <w:r w:rsidRPr="00B13ACF">
        <w:t>na obiekcie mostowym i na dojazdach do obiektu mostowego,</w:t>
      </w:r>
    </w:p>
    <w:p w14:paraId="3ED1C7EE" w14:textId="77777777" w:rsidR="005F574F" w:rsidRPr="00B13ACF" w:rsidRDefault="005F574F" w:rsidP="005F574F">
      <w:pPr>
        <w:numPr>
          <w:ilvl w:val="0"/>
          <w:numId w:val="31"/>
        </w:numPr>
        <w:spacing w:after="0"/>
        <w:ind w:left="993" w:hanging="284"/>
        <w:jc w:val="both"/>
      </w:pPr>
      <w:r w:rsidRPr="00B13ACF">
        <w:t>wewnątrz tunelu i na terenie nad tunelem,</w:t>
      </w:r>
    </w:p>
    <w:p w14:paraId="10EFCD94" w14:textId="77777777" w:rsidR="005F574F" w:rsidRPr="00B13ACF" w:rsidRDefault="005F574F" w:rsidP="005F574F">
      <w:pPr>
        <w:numPr>
          <w:ilvl w:val="0"/>
          <w:numId w:val="31"/>
        </w:numPr>
        <w:spacing w:after="0"/>
        <w:ind w:left="993" w:hanging="284"/>
        <w:jc w:val="both"/>
      </w:pPr>
      <w:r w:rsidRPr="00B13ACF">
        <w:t>nad przepustem i na dojazdach do przepustu,</w:t>
      </w:r>
    </w:p>
    <w:p w14:paraId="5AAE719E" w14:textId="77777777" w:rsidR="005F574F" w:rsidRPr="00B13ACF" w:rsidRDefault="005F574F" w:rsidP="005F574F">
      <w:pPr>
        <w:spacing w:after="0"/>
        <w:ind w:left="709"/>
        <w:jc w:val="both"/>
      </w:pPr>
      <w:r w:rsidRPr="00B13ACF">
        <w:t xml:space="preserve">podlega dodatkowo ocenie zgodnie z pkt. 1 NAWIERZCHNIE Części Szczegółowej niniejszej Gwarancji Jakości. </w:t>
      </w:r>
    </w:p>
    <w:p w14:paraId="7149A5D8" w14:textId="77777777" w:rsidR="005F574F" w:rsidRPr="00B13ACF" w:rsidRDefault="005F574F" w:rsidP="005F574F">
      <w:pPr>
        <w:spacing w:before="80" w:after="0"/>
        <w:ind w:left="709"/>
        <w:jc w:val="both"/>
        <w:rPr>
          <w:b/>
        </w:rPr>
      </w:pPr>
    </w:p>
    <w:p w14:paraId="316C3B71" w14:textId="77777777" w:rsidR="005F574F" w:rsidRPr="00B13ACF" w:rsidRDefault="005F574F" w:rsidP="005F574F">
      <w:pPr>
        <w:numPr>
          <w:ilvl w:val="1"/>
          <w:numId w:val="2"/>
        </w:numPr>
        <w:spacing w:before="80" w:after="0"/>
        <w:ind w:left="709" w:hanging="709"/>
        <w:jc w:val="both"/>
        <w:rPr>
          <w:b/>
        </w:rPr>
      </w:pPr>
      <w:r w:rsidRPr="00B13ACF">
        <w:rPr>
          <w:b/>
        </w:rPr>
        <w:t>Ocena stopnia zużycia</w:t>
      </w:r>
    </w:p>
    <w:p w14:paraId="20312E27"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obiektu mostowego powinna wynosić:</w:t>
      </w:r>
    </w:p>
    <w:p w14:paraId="19C44851" w14:textId="77777777" w:rsidR="005F574F" w:rsidRPr="00B13ACF" w:rsidRDefault="005F574F" w:rsidP="005F574F">
      <w:pPr>
        <w:numPr>
          <w:ilvl w:val="0"/>
          <w:numId w:val="31"/>
        </w:numPr>
        <w:spacing w:after="0"/>
        <w:ind w:left="993" w:hanging="284"/>
        <w:jc w:val="both"/>
      </w:pPr>
      <w:r w:rsidRPr="00B13ACF">
        <w:t>5 pkt, w odniesieniu do konstrukcji pomostu, konstrukcji dźwigarów głównych, przyczółków, filarów, urządzeń dylatacyjnych i łożysk,</w:t>
      </w:r>
    </w:p>
    <w:p w14:paraId="1A16FD1B"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7EF8B8B1"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tunelu lub przejścia podziemnego powinna wynosić:</w:t>
      </w:r>
    </w:p>
    <w:p w14:paraId="26D24DDF" w14:textId="77777777" w:rsidR="005F574F" w:rsidRPr="00B13ACF" w:rsidRDefault="005F574F" w:rsidP="005F574F">
      <w:pPr>
        <w:numPr>
          <w:ilvl w:val="0"/>
          <w:numId w:val="31"/>
        </w:numPr>
        <w:spacing w:after="0"/>
        <w:ind w:left="993" w:hanging="284"/>
        <w:jc w:val="both"/>
      </w:pPr>
      <w:r w:rsidRPr="00B13ACF">
        <w:t xml:space="preserve">5 pkt, w odniesieniu do ściany czołowej, ściany obudowy, stropu lub sklepienia </w:t>
      </w:r>
      <w:proofErr w:type="spellStart"/>
      <w:r w:rsidRPr="00B13ACF">
        <w:t>kalotowego</w:t>
      </w:r>
      <w:proofErr w:type="spellEnd"/>
      <w:r w:rsidRPr="00B13ACF">
        <w:t>, płyty dennej, podpór, urządzeń odwadniających i urządzeń wentylacyjnych,</w:t>
      </w:r>
    </w:p>
    <w:p w14:paraId="6D022951"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06F8094E"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przepustu powinna wynosić:</w:t>
      </w:r>
    </w:p>
    <w:p w14:paraId="7489B8FE" w14:textId="77777777" w:rsidR="005F574F" w:rsidRPr="00B13ACF" w:rsidRDefault="005F574F" w:rsidP="005F574F">
      <w:pPr>
        <w:numPr>
          <w:ilvl w:val="0"/>
          <w:numId w:val="31"/>
        </w:numPr>
        <w:spacing w:after="0"/>
        <w:ind w:left="993" w:hanging="284"/>
        <w:jc w:val="both"/>
      </w:pPr>
      <w:r w:rsidRPr="00B13ACF">
        <w:t>5 pkt, w odniesieniu do płyty górnej lub sklepienia, ścian, płyty dennej i fundamentów, elementów rurowych lub elementów ramowych i głowic,</w:t>
      </w:r>
    </w:p>
    <w:p w14:paraId="628AE94C"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062500B9" w14:textId="77777777" w:rsidR="005F574F" w:rsidRPr="00B13ACF" w:rsidRDefault="005F574F" w:rsidP="005F574F">
      <w:pPr>
        <w:numPr>
          <w:ilvl w:val="2"/>
          <w:numId w:val="2"/>
        </w:numPr>
        <w:spacing w:before="80" w:after="0"/>
        <w:ind w:left="709" w:hanging="709"/>
        <w:jc w:val="both"/>
      </w:pPr>
      <w:r w:rsidRPr="00B13ACF">
        <w:t>W okresie gwarancji, ocena stanu technicznego każdego elementu konstrukcji oporowej powinna wynosić:</w:t>
      </w:r>
    </w:p>
    <w:p w14:paraId="54997333" w14:textId="77777777" w:rsidR="005F574F" w:rsidRPr="00B13ACF" w:rsidRDefault="005F574F" w:rsidP="005F574F">
      <w:pPr>
        <w:numPr>
          <w:ilvl w:val="0"/>
          <w:numId w:val="31"/>
        </w:numPr>
        <w:spacing w:after="0"/>
        <w:ind w:left="993" w:hanging="284"/>
        <w:jc w:val="both"/>
      </w:pPr>
      <w:r w:rsidRPr="00B13ACF">
        <w:t>5 pkt, w odniesieniu do korpusu i urządzeń odwadniających,</w:t>
      </w:r>
    </w:p>
    <w:p w14:paraId="1DE55BFF" w14:textId="77777777" w:rsidR="005F574F" w:rsidRPr="00B13ACF" w:rsidRDefault="005F574F" w:rsidP="005F574F">
      <w:pPr>
        <w:numPr>
          <w:ilvl w:val="0"/>
          <w:numId w:val="31"/>
        </w:numPr>
        <w:spacing w:after="0"/>
        <w:ind w:left="993" w:hanging="284"/>
        <w:jc w:val="both"/>
      </w:pPr>
      <w:r w:rsidRPr="00B13ACF">
        <w:t>nie mniej niż 4 pkt, w odniesieniu do pozostałych elementów.</w:t>
      </w:r>
    </w:p>
    <w:p w14:paraId="030711C5" w14:textId="77777777" w:rsidR="005F574F" w:rsidRPr="00B13ACF" w:rsidRDefault="005F574F" w:rsidP="005F574F">
      <w:pPr>
        <w:numPr>
          <w:ilvl w:val="2"/>
          <w:numId w:val="2"/>
        </w:numPr>
        <w:spacing w:after="0"/>
        <w:ind w:left="709" w:hanging="709"/>
        <w:jc w:val="both"/>
      </w:pPr>
      <w:r w:rsidRPr="00B13ACF">
        <w:t>Wszelkie ujawnione w okresie gwarancji odstępstwa od projektu budowlanego i wykonawczego oraz STWIORB, które nie wynikają z normalnego zużycia, podlegają naprawie bez względu na ocenę stanu technicznego ustaloną zgodnie z „Zasadami stosowania skali ocen punktowych stanu technicznego i przydatności do użytkowania drogowych obiektów inżynierskich”.</w:t>
      </w:r>
    </w:p>
    <w:p w14:paraId="414154A9" w14:textId="2898BCE6" w:rsidR="005F574F" w:rsidRPr="00B13ACF" w:rsidRDefault="005F574F" w:rsidP="005F574F">
      <w:pPr>
        <w:numPr>
          <w:ilvl w:val="2"/>
          <w:numId w:val="2"/>
        </w:numPr>
        <w:spacing w:after="0"/>
        <w:ind w:left="709" w:hanging="709"/>
        <w:jc w:val="both"/>
      </w:pPr>
      <w:r w:rsidRPr="00B13ACF">
        <w:t xml:space="preserve">Gwarant określi sposób usunięcia wady w formie programu naprawczego zgodnego z </w:t>
      </w:r>
      <w:proofErr w:type="spellStart"/>
      <w:r w:rsidRPr="00B13ACF">
        <w:t>STWiORB</w:t>
      </w:r>
      <w:proofErr w:type="spellEnd"/>
      <w:r w:rsidRPr="00B13ACF">
        <w:t>. Program naprawczy podlega uzgodnieniu z Zamawiający</w:t>
      </w:r>
      <w:r w:rsidR="005E0823" w:rsidRPr="00B13ACF">
        <w:t>m.</w:t>
      </w:r>
    </w:p>
    <w:p w14:paraId="0259A3AE" w14:textId="77777777" w:rsidR="005F574F" w:rsidRPr="00B13ACF" w:rsidRDefault="005F574F" w:rsidP="005F574F">
      <w:pPr>
        <w:numPr>
          <w:ilvl w:val="2"/>
          <w:numId w:val="2"/>
        </w:numPr>
        <w:spacing w:after="0"/>
        <w:ind w:left="709" w:hanging="709"/>
        <w:jc w:val="both"/>
      </w:pPr>
      <w:r w:rsidRPr="00B13ACF">
        <w:t>Gwarant zobowiązany jest zapewnić Zamawiającemu możliwość kontroli wykonanych robót poprzez zgłaszanie dokładnego terminu przystąpienia do usuwania wad, zgłaszanie robót ulegających zakryciu, zapewnienia dostępu do wykonywanych robót.</w:t>
      </w:r>
    </w:p>
    <w:p w14:paraId="43E8EAE1" w14:textId="1B617F92" w:rsidR="00363999" w:rsidRPr="00B13ACF" w:rsidRDefault="00363999" w:rsidP="00363999">
      <w:pPr>
        <w:spacing w:before="80" w:after="0"/>
        <w:jc w:val="both"/>
      </w:pPr>
    </w:p>
    <w:p w14:paraId="0667C455" w14:textId="77777777" w:rsidR="005E0823" w:rsidRPr="00B13ACF" w:rsidRDefault="005E0823" w:rsidP="00363999">
      <w:pPr>
        <w:spacing w:before="80" w:after="0"/>
        <w:jc w:val="both"/>
      </w:pPr>
    </w:p>
    <w:p w14:paraId="59879B12" w14:textId="77777777" w:rsidR="00363999" w:rsidRPr="00B13ACF" w:rsidRDefault="00363999" w:rsidP="00363999">
      <w:pPr>
        <w:spacing w:before="80" w:after="0"/>
        <w:jc w:val="both"/>
        <w:rPr>
          <w:b/>
        </w:rPr>
      </w:pPr>
      <w:r w:rsidRPr="00B13ACF">
        <w:rPr>
          <w:b/>
        </w:rPr>
        <w:t>PODPISY I PIECZĘCIE</w:t>
      </w:r>
    </w:p>
    <w:p w14:paraId="4F9B8571" w14:textId="6B4F62B8" w:rsidR="00363999" w:rsidRPr="00B13ACF" w:rsidRDefault="00363999" w:rsidP="00363999">
      <w:pPr>
        <w:spacing w:before="80" w:after="0"/>
        <w:jc w:val="both"/>
      </w:pPr>
      <w:r w:rsidRPr="00B13ACF">
        <w:rPr>
          <w:b/>
        </w:rPr>
        <w:t>W imieniu Gwaranta:</w:t>
      </w:r>
    </w:p>
    <w:sectPr w:rsidR="00363999" w:rsidRPr="00B13ACF" w:rsidSect="00BD40BF">
      <w:footerReference w:type="default" r:id="rId9"/>
      <w:pgSz w:w="11906" w:h="16838" w:code="9"/>
      <w:pgMar w:top="1417" w:right="1417" w:bottom="1417" w:left="1417" w:header="561"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E3091" w14:textId="77777777" w:rsidR="00BA04F3" w:rsidRDefault="00BA04F3" w:rsidP="00363999">
      <w:pPr>
        <w:spacing w:after="0" w:line="240" w:lineRule="auto"/>
      </w:pPr>
      <w:r>
        <w:separator/>
      </w:r>
    </w:p>
  </w:endnote>
  <w:endnote w:type="continuationSeparator" w:id="0">
    <w:p w14:paraId="531030F8" w14:textId="77777777" w:rsidR="00BA04F3" w:rsidRDefault="00BA04F3" w:rsidP="00363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ymbolPS">
    <w:altName w:val="Symbol"/>
    <w:charset w:val="02"/>
    <w:family w:val="roman"/>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DFCF3" w14:textId="40AEA2B9" w:rsidR="008218AC" w:rsidRDefault="008218AC" w:rsidP="00BD40BF">
    <w:pPr>
      <w:pStyle w:val="Stopka"/>
      <w:jc w:val="center"/>
    </w:pPr>
    <w:r w:rsidRPr="00AA032B">
      <w:rPr>
        <w:w w:val="90"/>
      </w:rPr>
      <w:fldChar w:fldCharType="begin"/>
    </w:r>
    <w:r w:rsidRPr="00AA032B">
      <w:rPr>
        <w:w w:val="90"/>
      </w:rPr>
      <w:instrText>PAGE   \* MERGEFORMAT</w:instrText>
    </w:r>
    <w:r w:rsidRPr="00AA032B">
      <w:rPr>
        <w:w w:val="90"/>
      </w:rPr>
      <w:fldChar w:fldCharType="separate"/>
    </w:r>
    <w:r w:rsidR="00437E0C">
      <w:rPr>
        <w:noProof/>
        <w:w w:val="90"/>
      </w:rPr>
      <w:t>16</w:t>
    </w:r>
    <w:r w:rsidRPr="00AA032B">
      <w:rPr>
        <w:w w:val="9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0B634" w14:textId="77777777" w:rsidR="00BA04F3" w:rsidRDefault="00BA04F3" w:rsidP="00363999">
      <w:pPr>
        <w:spacing w:after="0" w:line="240" w:lineRule="auto"/>
      </w:pPr>
      <w:r>
        <w:separator/>
      </w:r>
    </w:p>
  </w:footnote>
  <w:footnote w:type="continuationSeparator" w:id="0">
    <w:p w14:paraId="4D585ADC" w14:textId="77777777" w:rsidR="00BA04F3" w:rsidRDefault="00BA04F3" w:rsidP="00363999">
      <w:pPr>
        <w:spacing w:after="0" w:line="240" w:lineRule="auto"/>
      </w:pPr>
      <w:r>
        <w:continuationSeparator/>
      </w:r>
    </w:p>
  </w:footnote>
  <w:footnote w:id="1">
    <w:p w14:paraId="5604DCB4" w14:textId="77777777" w:rsidR="008218AC" w:rsidRDefault="008218AC" w:rsidP="00363999">
      <w:pPr>
        <w:pStyle w:val="Tekstprzypisudolnego"/>
        <w:jc w:val="both"/>
      </w:pPr>
      <w:r>
        <w:rPr>
          <w:rStyle w:val="Odwoanieprzypisudolnego"/>
        </w:rPr>
        <w:footnoteRef/>
      </w:r>
      <w:r>
        <w:t xml:space="preserve"> </w:t>
      </w:r>
      <w:r w:rsidRPr="00A62408">
        <w:rPr>
          <w:w w:val="90"/>
          <w:sz w:val="16"/>
        </w:rPr>
        <w:t>miarodajny współczynnik tarcia Dm – różnica wartości średniej E(m) i odchylenia standardowego D: Dm = E(m) - D. Wyniki podaje się z dokładnością do dwóch miejsc po przecinku. Wartość miarodajnego współczynnik tarcia nie może być mniejsza od minimalnej wartości wyniku pomiaru na odcinku 50-cio metrowym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602A7"/>
    <w:multiLevelType w:val="multilevel"/>
    <w:tmpl w:val="DC80BAC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A4D9E"/>
    <w:multiLevelType w:val="hybridMultilevel"/>
    <w:tmpl w:val="5876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FA56D5"/>
    <w:multiLevelType w:val="hybridMultilevel"/>
    <w:tmpl w:val="177E7E6E"/>
    <w:lvl w:ilvl="0" w:tplc="E0AA717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E1D10"/>
    <w:multiLevelType w:val="hybridMultilevel"/>
    <w:tmpl w:val="75640DF4"/>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E903F2"/>
    <w:multiLevelType w:val="hybridMultilevel"/>
    <w:tmpl w:val="38B4A1B6"/>
    <w:lvl w:ilvl="0" w:tplc="9020B162">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5" w15:restartNumberingAfterBreak="0">
    <w:nsid w:val="0DC97FAA"/>
    <w:multiLevelType w:val="hybridMultilevel"/>
    <w:tmpl w:val="C378581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0B4672"/>
    <w:multiLevelType w:val="hybridMultilevel"/>
    <w:tmpl w:val="0F0EF4B4"/>
    <w:lvl w:ilvl="0" w:tplc="9020B162">
      <w:start w:val="1"/>
      <w:numFmt w:val="bullet"/>
      <w:lvlText w:val=""/>
      <w:lvlJc w:val="left"/>
      <w:pPr>
        <w:ind w:left="1856" w:hanging="360"/>
      </w:pPr>
      <w:rPr>
        <w:rFonts w:ascii="Symbol" w:hAnsi="Symbol" w:hint="default"/>
      </w:rPr>
    </w:lvl>
    <w:lvl w:ilvl="1" w:tplc="04150003" w:tentative="1">
      <w:start w:val="1"/>
      <w:numFmt w:val="bullet"/>
      <w:lvlText w:val="o"/>
      <w:lvlJc w:val="left"/>
      <w:pPr>
        <w:ind w:left="2576" w:hanging="360"/>
      </w:pPr>
      <w:rPr>
        <w:rFonts w:ascii="Courier New" w:hAnsi="Courier New" w:cs="Courier New" w:hint="default"/>
      </w:rPr>
    </w:lvl>
    <w:lvl w:ilvl="2" w:tplc="04150005" w:tentative="1">
      <w:start w:val="1"/>
      <w:numFmt w:val="bullet"/>
      <w:lvlText w:val=""/>
      <w:lvlJc w:val="left"/>
      <w:pPr>
        <w:ind w:left="3296" w:hanging="360"/>
      </w:pPr>
      <w:rPr>
        <w:rFonts w:ascii="Wingdings" w:hAnsi="Wingdings" w:hint="default"/>
      </w:rPr>
    </w:lvl>
    <w:lvl w:ilvl="3" w:tplc="04150001" w:tentative="1">
      <w:start w:val="1"/>
      <w:numFmt w:val="bullet"/>
      <w:lvlText w:val=""/>
      <w:lvlJc w:val="left"/>
      <w:pPr>
        <w:ind w:left="4016" w:hanging="360"/>
      </w:pPr>
      <w:rPr>
        <w:rFonts w:ascii="Symbol" w:hAnsi="Symbol" w:hint="default"/>
      </w:rPr>
    </w:lvl>
    <w:lvl w:ilvl="4" w:tplc="04150003" w:tentative="1">
      <w:start w:val="1"/>
      <w:numFmt w:val="bullet"/>
      <w:lvlText w:val="o"/>
      <w:lvlJc w:val="left"/>
      <w:pPr>
        <w:ind w:left="4736" w:hanging="360"/>
      </w:pPr>
      <w:rPr>
        <w:rFonts w:ascii="Courier New" w:hAnsi="Courier New" w:cs="Courier New" w:hint="default"/>
      </w:rPr>
    </w:lvl>
    <w:lvl w:ilvl="5" w:tplc="04150005" w:tentative="1">
      <w:start w:val="1"/>
      <w:numFmt w:val="bullet"/>
      <w:lvlText w:val=""/>
      <w:lvlJc w:val="left"/>
      <w:pPr>
        <w:ind w:left="5456" w:hanging="360"/>
      </w:pPr>
      <w:rPr>
        <w:rFonts w:ascii="Wingdings" w:hAnsi="Wingdings" w:hint="default"/>
      </w:rPr>
    </w:lvl>
    <w:lvl w:ilvl="6" w:tplc="04150001" w:tentative="1">
      <w:start w:val="1"/>
      <w:numFmt w:val="bullet"/>
      <w:lvlText w:val=""/>
      <w:lvlJc w:val="left"/>
      <w:pPr>
        <w:ind w:left="6176" w:hanging="360"/>
      </w:pPr>
      <w:rPr>
        <w:rFonts w:ascii="Symbol" w:hAnsi="Symbol" w:hint="default"/>
      </w:rPr>
    </w:lvl>
    <w:lvl w:ilvl="7" w:tplc="04150003" w:tentative="1">
      <w:start w:val="1"/>
      <w:numFmt w:val="bullet"/>
      <w:lvlText w:val="o"/>
      <w:lvlJc w:val="left"/>
      <w:pPr>
        <w:ind w:left="6896" w:hanging="360"/>
      </w:pPr>
      <w:rPr>
        <w:rFonts w:ascii="Courier New" w:hAnsi="Courier New" w:cs="Courier New" w:hint="default"/>
      </w:rPr>
    </w:lvl>
    <w:lvl w:ilvl="8" w:tplc="04150005" w:tentative="1">
      <w:start w:val="1"/>
      <w:numFmt w:val="bullet"/>
      <w:lvlText w:val=""/>
      <w:lvlJc w:val="left"/>
      <w:pPr>
        <w:ind w:left="7616" w:hanging="360"/>
      </w:pPr>
      <w:rPr>
        <w:rFonts w:ascii="Wingdings" w:hAnsi="Wingdings" w:hint="default"/>
      </w:rPr>
    </w:lvl>
  </w:abstractNum>
  <w:abstractNum w:abstractNumId="7" w15:restartNumberingAfterBreak="0">
    <w:nsid w:val="13C92C59"/>
    <w:multiLevelType w:val="hybridMultilevel"/>
    <w:tmpl w:val="7D98999E"/>
    <w:lvl w:ilvl="0" w:tplc="0415000B">
      <w:start w:val="1"/>
      <w:numFmt w:val="bullet"/>
      <w:lvlText w:val=""/>
      <w:lvlJc w:val="left"/>
      <w:pPr>
        <w:ind w:left="795" w:hanging="360"/>
      </w:pPr>
      <w:rPr>
        <w:rFonts w:ascii="Wingdings" w:hAnsi="Wingdings"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8" w15:restartNumberingAfterBreak="0">
    <w:nsid w:val="189A12E7"/>
    <w:multiLevelType w:val="hybridMultilevel"/>
    <w:tmpl w:val="738EA22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8067C3"/>
    <w:multiLevelType w:val="hybridMultilevel"/>
    <w:tmpl w:val="DBF0FF02"/>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8A756C"/>
    <w:multiLevelType w:val="hybridMultilevel"/>
    <w:tmpl w:val="EB2EF67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C3454C"/>
    <w:multiLevelType w:val="hybridMultilevel"/>
    <w:tmpl w:val="2F8EB2E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855410"/>
    <w:multiLevelType w:val="hybridMultilevel"/>
    <w:tmpl w:val="4AE836DA"/>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675FF6"/>
    <w:multiLevelType w:val="hybridMultilevel"/>
    <w:tmpl w:val="5756132C"/>
    <w:lvl w:ilvl="0" w:tplc="9020B162">
      <w:start w:val="1"/>
      <w:numFmt w:val="bullet"/>
      <w:lvlText w:val=""/>
      <w:lvlJc w:val="left"/>
      <w:pPr>
        <w:ind w:left="1288" w:hanging="360"/>
      </w:pPr>
      <w:rPr>
        <w:rFonts w:ascii="Symbol" w:hAnsi="Symbol"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4" w15:restartNumberingAfterBreak="0">
    <w:nsid w:val="34DC1B20"/>
    <w:multiLevelType w:val="hybridMultilevel"/>
    <w:tmpl w:val="FB1AD40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21548C"/>
    <w:multiLevelType w:val="hybridMultilevel"/>
    <w:tmpl w:val="6C5C9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6D3919"/>
    <w:multiLevelType w:val="multilevel"/>
    <w:tmpl w:val="EA789852"/>
    <w:lvl w:ilvl="0">
      <w:start w:val="1"/>
      <w:numFmt w:val="decimal"/>
      <w:lvlText w:val="%1."/>
      <w:lvlJc w:val="left"/>
      <w:pPr>
        <w:ind w:left="360" w:hanging="360"/>
      </w:pPr>
    </w:lvl>
    <w:lvl w:ilvl="1">
      <w:start w:val="1"/>
      <w:numFmt w:val="decimal"/>
      <w:isLgl/>
      <w:lvlText w:val="%1.%2"/>
      <w:lvlJc w:val="left"/>
      <w:pPr>
        <w:ind w:left="2628"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3C8322DA"/>
    <w:multiLevelType w:val="hybridMultilevel"/>
    <w:tmpl w:val="775EB7E4"/>
    <w:lvl w:ilvl="0" w:tplc="1E48256C">
      <w:start w:val="1"/>
      <w:numFmt w:val="lowerLetter"/>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B2CE06C">
      <w:start w:val="1"/>
      <w:numFmt w:val="lowerLetter"/>
      <w:lvlText w:val="%2"/>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078D0D4">
      <w:start w:val="1"/>
      <w:numFmt w:val="lowerRoman"/>
      <w:lvlText w:val="%3"/>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C9C0F96">
      <w:start w:val="1"/>
      <w:numFmt w:val="decimal"/>
      <w:lvlText w:val="%4"/>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DAA20CA">
      <w:start w:val="1"/>
      <w:numFmt w:val="lowerLetter"/>
      <w:lvlText w:val="%5"/>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CB2E11E">
      <w:start w:val="1"/>
      <w:numFmt w:val="lowerRoman"/>
      <w:lvlText w:val="%6"/>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398FAC0">
      <w:start w:val="1"/>
      <w:numFmt w:val="decimal"/>
      <w:lvlText w:val="%7"/>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04C19F0">
      <w:start w:val="1"/>
      <w:numFmt w:val="lowerLetter"/>
      <w:lvlText w:val="%8"/>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D78295C">
      <w:start w:val="1"/>
      <w:numFmt w:val="lowerRoman"/>
      <w:lvlText w:val="%9"/>
      <w:lvlJc w:val="left"/>
      <w:pPr>
        <w:ind w:left="65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D3853B5"/>
    <w:multiLevelType w:val="hybridMultilevel"/>
    <w:tmpl w:val="0E623EBE"/>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5960F3"/>
    <w:multiLevelType w:val="hybridMultilevel"/>
    <w:tmpl w:val="1062CC8C"/>
    <w:lvl w:ilvl="0" w:tplc="AC2EFE94">
      <w:start w:val="1"/>
      <w:numFmt w:val="lowerLetter"/>
      <w:lvlText w:val="%1)"/>
      <w:lvlJc w:val="left"/>
      <w:pPr>
        <w:ind w:left="2272" w:hanging="360"/>
      </w:pPr>
      <w:rPr>
        <w:rFonts w:hint="default"/>
      </w:rPr>
    </w:lvl>
    <w:lvl w:ilvl="1" w:tplc="04150019" w:tentative="1">
      <w:start w:val="1"/>
      <w:numFmt w:val="lowerLetter"/>
      <w:lvlText w:val="%2."/>
      <w:lvlJc w:val="left"/>
      <w:pPr>
        <w:ind w:left="2992" w:hanging="360"/>
      </w:pPr>
    </w:lvl>
    <w:lvl w:ilvl="2" w:tplc="0415001B" w:tentative="1">
      <w:start w:val="1"/>
      <w:numFmt w:val="lowerRoman"/>
      <w:lvlText w:val="%3."/>
      <w:lvlJc w:val="right"/>
      <w:pPr>
        <w:ind w:left="3712" w:hanging="180"/>
      </w:pPr>
    </w:lvl>
    <w:lvl w:ilvl="3" w:tplc="0415000F" w:tentative="1">
      <w:start w:val="1"/>
      <w:numFmt w:val="decimal"/>
      <w:lvlText w:val="%4."/>
      <w:lvlJc w:val="left"/>
      <w:pPr>
        <w:ind w:left="4432" w:hanging="360"/>
      </w:pPr>
    </w:lvl>
    <w:lvl w:ilvl="4" w:tplc="04150019" w:tentative="1">
      <w:start w:val="1"/>
      <w:numFmt w:val="lowerLetter"/>
      <w:lvlText w:val="%5."/>
      <w:lvlJc w:val="left"/>
      <w:pPr>
        <w:ind w:left="5152" w:hanging="360"/>
      </w:pPr>
    </w:lvl>
    <w:lvl w:ilvl="5" w:tplc="0415001B" w:tentative="1">
      <w:start w:val="1"/>
      <w:numFmt w:val="lowerRoman"/>
      <w:lvlText w:val="%6."/>
      <w:lvlJc w:val="right"/>
      <w:pPr>
        <w:ind w:left="5872" w:hanging="180"/>
      </w:pPr>
    </w:lvl>
    <w:lvl w:ilvl="6" w:tplc="0415000F" w:tentative="1">
      <w:start w:val="1"/>
      <w:numFmt w:val="decimal"/>
      <w:lvlText w:val="%7."/>
      <w:lvlJc w:val="left"/>
      <w:pPr>
        <w:ind w:left="6592" w:hanging="360"/>
      </w:pPr>
    </w:lvl>
    <w:lvl w:ilvl="7" w:tplc="04150019" w:tentative="1">
      <w:start w:val="1"/>
      <w:numFmt w:val="lowerLetter"/>
      <w:lvlText w:val="%8."/>
      <w:lvlJc w:val="left"/>
      <w:pPr>
        <w:ind w:left="7312" w:hanging="360"/>
      </w:pPr>
    </w:lvl>
    <w:lvl w:ilvl="8" w:tplc="0415001B" w:tentative="1">
      <w:start w:val="1"/>
      <w:numFmt w:val="lowerRoman"/>
      <w:lvlText w:val="%9."/>
      <w:lvlJc w:val="right"/>
      <w:pPr>
        <w:ind w:left="8032" w:hanging="180"/>
      </w:pPr>
    </w:lvl>
  </w:abstractNum>
  <w:abstractNum w:abstractNumId="20" w15:restartNumberingAfterBreak="0">
    <w:nsid w:val="41F81378"/>
    <w:multiLevelType w:val="hybridMultilevel"/>
    <w:tmpl w:val="7FD0E548"/>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310A31"/>
    <w:multiLevelType w:val="hybridMultilevel"/>
    <w:tmpl w:val="16D8B846"/>
    <w:lvl w:ilvl="0" w:tplc="AC2EFE94">
      <w:start w:val="1"/>
      <w:numFmt w:val="lowerLetter"/>
      <w:lvlText w:val="%1)"/>
      <w:lvlJc w:val="left"/>
      <w:pPr>
        <w:ind w:left="781" w:hanging="705"/>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15:restartNumberingAfterBreak="0">
    <w:nsid w:val="444F4C2C"/>
    <w:multiLevelType w:val="multilevel"/>
    <w:tmpl w:val="B8AAEF68"/>
    <w:lvl w:ilvl="0">
      <w:start w:val="1"/>
      <w:numFmt w:val="decimal"/>
      <w:lvlText w:val="%1."/>
      <w:lvlJc w:val="left"/>
      <w:pPr>
        <w:ind w:left="360" w:hanging="360"/>
      </w:pPr>
      <w:rPr>
        <w:rFonts w:ascii="Verdana" w:eastAsia="Times New Roman" w:hAnsi="Verdana" w:cs="Arial"/>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44954190"/>
    <w:multiLevelType w:val="hybridMultilevel"/>
    <w:tmpl w:val="C294514E"/>
    <w:lvl w:ilvl="0" w:tplc="AC2EFE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6D34FED"/>
    <w:multiLevelType w:val="hybridMultilevel"/>
    <w:tmpl w:val="1744147C"/>
    <w:lvl w:ilvl="0" w:tplc="4E0A395A">
      <w:start w:val="1"/>
      <w:numFmt w:val="bullet"/>
      <w:lvlText w:val="‒"/>
      <w:lvlJc w:val="left"/>
      <w:pPr>
        <w:ind w:left="1429" w:hanging="360"/>
      </w:pPr>
      <w:rPr>
        <w:rFonts w:ascii="Verdana" w:hAnsi="Verdana"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D0E609A"/>
    <w:multiLevelType w:val="hybridMultilevel"/>
    <w:tmpl w:val="1F1483DE"/>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40763"/>
    <w:multiLevelType w:val="hybridMultilevel"/>
    <w:tmpl w:val="E736C27C"/>
    <w:lvl w:ilvl="0" w:tplc="1E48256C">
      <w:start w:val="1"/>
      <w:numFmt w:val="lowerLetter"/>
      <w:lvlText w:val="%1)"/>
      <w:lvlJc w:val="left"/>
      <w:pPr>
        <w:ind w:left="7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B2CE06C">
      <w:start w:val="1"/>
      <w:numFmt w:val="lowerLetter"/>
      <w:lvlText w:val="%2"/>
      <w:lvlJc w:val="left"/>
      <w:pPr>
        <w:ind w:left="15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078D0D4">
      <w:start w:val="1"/>
      <w:numFmt w:val="lowerRoman"/>
      <w:lvlText w:val="%3"/>
      <w:lvlJc w:val="left"/>
      <w:pPr>
        <w:ind w:left="22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C9C0F96">
      <w:start w:val="1"/>
      <w:numFmt w:val="decimal"/>
      <w:lvlText w:val="%4"/>
      <w:lvlJc w:val="left"/>
      <w:pPr>
        <w:ind w:left="29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DAA20CA">
      <w:start w:val="1"/>
      <w:numFmt w:val="lowerLetter"/>
      <w:lvlText w:val="%5"/>
      <w:lvlJc w:val="left"/>
      <w:pPr>
        <w:ind w:left="366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4CB2E11E">
      <w:start w:val="1"/>
      <w:numFmt w:val="lowerRoman"/>
      <w:lvlText w:val="%6"/>
      <w:lvlJc w:val="left"/>
      <w:pPr>
        <w:ind w:left="438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398FAC0">
      <w:start w:val="1"/>
      <w:numFmt w:val="decimal"/>
      <w:lvlText w:val="%7"/>
      <w:lvlJc w:val="left"/>
      <w:pPr>
        <w:ind w:left="51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04C19F0">
      <w:start w:val="1"/>
      <w:numFmt w:val="lowerLetter"/>
      <w:lvlText w:val="%8"/>
      <w:lvlJc w:val="left"/>
      <w:pPr>
        <w:ind w:left="58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D78295C">
      <w:start w:val="1"/>
      <w:numFmt w:val="lowerRoman"/>
      <w:lvlText w:val="%9"/>
      <w:lvlJc w:val="left"/>
      <w:pPr>
        <w:ind w:left="654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F9434C3"/>
    <w:multiLevelType w:val="hybridMultilevel"/>
    <w:tmpl w:val="A234450C"/>
    <w:lvl w:ilvl="0" w:tplc="4468CFDC">
      <w:start w:val="1"/>
      <w:numFmt w:val="lowerLetter"/>
      <w:lvlText w:val="%1)"/>
      <w:lvlJc w:val="left"/>
      <w:pPr>
        <w:ind w:left="847" w:hanging="70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51A43C93"/>
    <w:multiLevelType w:val="hybridMultilevel"/>
    <w:tmpl w:val="10888512"/>
    <w:lvl w:ilvl="0" w:tplc="3BD0F714">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866635"/>
    <w:multiLevelType w:val="multilevel"/>
    <w:tmpl w:val="5546BB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5F97DBC"/>
    <w:multiLevelType w:val="hybridMultilevel"/>
    <w:tmpl w:val="363C1EB0"/>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680150"/>
    <w:multiLevelType w:val="hybridMultilevel"/>
    <w:tmpl w:val="9F587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630636"/>
    <w:multiLevelType w:val="hybridMultilevel"/>
    <w:tmpl w:val="110C5FFA"/>
    <w:lvl w:ilvl="0" w:tplc="AC2EFE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3774AF"/>
    <w:multiLevelType w:val="hybridMultilevel"/>
    <w:tmpl w:val="C92C32F4"/>
    <w:lvl w:ilvl="0" w:tplc="9020B1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424279"/>
    <w:multiLevelType w:val="hybridMultilevel"/>
    <w:tmpl w:val="841CC0B2"/>
    <w:lvl w:ilvl="0" w:tplc="F68E699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DA7C91"/>
    <w:multiLevelType w:val="hybridMultilevel"/>
    <w:tmpl w:val="AC526168"/>
    <w:lvl w:ilvl="0" w:tplc="635060F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86346C"/>
    <w:multiLevelType w:val="hybridMultilevel"/>
    <w:tmpl w:val="AA86400A"/>
    <w:lvl w:ilvl="0" w:tplc="80A2430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9"/>
  </w:num>
  <w:num w:numId="3">
    <w:abstractNumId w:val="21"/>
  </w:num>
  <w:num w:numId="4">
    <w:abstractNumId w:val="33"/>
  </w:num>
  <w:num w:numId="5">
    <w:abstractNumId w:val="2"/>
  </w:num>
  <w:num w:numId="6">
    <w:abstractNumId w:val="8"/>
  </w:num>
  <w:num w:numId="7">
    <w:abstractNumId w:val="9"/>
  </w:num>
  <w:num w:numId="8">
    <w:abstractNumId w:val="36"/>
  </w:num>
  <w:num w:numId="9">
    <w:abstractNumId w:val="30"/>
  </w:num>
  <w:num w:numId="10">
    <w:abstractNumId w:val="34"/>
  </w:num>
  <w:num w:numId="11">
    <w:abstractNumId w:val="11"/>
  </w:num>
  <w:num w:numId="12">
    <w:abstractNumId w:val="25"/>
  </w:num>
  <w:num w:numId="13">
    <w:abstractNumId w:val="3"/>
  </w:num>
  <w:num w:numId="14">
    <w:abstractNumId w:val="5"/>
  </w:num>
  <w:num w:numId="15">
    <w:abstractNumId w:val="28"/>
  </w:num>
  <w:num w:numId="16">
    <w:abstractNumId w:val="12"/>
  </w:num>
  <w:num w:numId="17">
    <w:abstractNumId w:val="20"/>
  </w:num>
  <w:num w:numId="18">
    <w:abstractNumId w:val="10"/>
  </w:num>
  <w:num w:numId="19">
    <w:abstractNumId w:val="16"/>
  </w:num>
  <w:num w:numId="20">
    <w:abstractNumId w:val="17"/>
  </w:num>
  <w:num w:numId="21">
    <w:abstractNumId w:val="26"/>
  </w:num>
  <w:num w:numId="22">
    <w:abstractNumId w:val="15"/>
  </w:num>
  <w:num w:numId="23">
    <w:abstractNumId w:val="22"/>
  </w:num>
  <w:num w:numId="24">
    <w:abstractNumId w:val="35"/>
  </w:num>
  <w:num w:numId="25">
    <w:abstractNumId w:val="0"/>
  </w:num>
  <w:num w:numId="26">
    <w:abstractNumId w:val="6"/>
  </w:num>
  <w:num w:numId="27">
    <w:abstractNumId w:val="1"/>
  </w:num>
  <w:num w:numId="28">
    <w:abstractNumId w:val="18"/>
  </w:num>
  <w:num w:numId="29">
    <w:abstractNumId w:val="4"/>
  </w:num>
  <w:num w:numId="30">
    <w:abstractNumId w:val="14"/>
  </w:num>
  <w:num w:numId="31">
    <w:abstractNumId w:val="24"/>
  </w:num>
  <w:num w:numId="32">
    <w:abstractNumId w:val="27"/>
  </w:num>
  <w:num w:numId="33">
    <w:abstractNumId w:val="7"/>
  </w:num>
  <w:num w:numId="34">
    <w:abstractNumId w:val="31"/>
  </w:num>
  <w:num w:numId="35">
    <w:abstractNumId w:val="23"/>
  </w:num>
  <w:num w:numId="36">
    <w:abstractNumId w:val="19"/>
  </w:num>
  <w:num w:numId="37">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EE7"/>
    <w:rsid w:val="00016AC3"/>
    <w:rsid w:val="00031312"/>
    <w:rsid w:val="000426DC"/>
    <w:rsid w:val="00060521"/>
    <w:rsid w:val="00087EE7"/>
    <w:rsid w:val="00091067"/>
    <w:rsid w:val="000D582E"/>
    <w:rsid w:val="000E2B14"/>
    <w:rsid w:val="000E5C5E"/>
    <w:rsid w:val="000F071A"/>
    <w:rsid w:val="000F5A16"/>
    <w:rsid w:val="001715C3"/>
    <w:rsid w:val="00186393"/>
    <w:rsid w:val="001A4168"/>
    <w:rsid w:val="001A4F67"/>
    <w:rsid w:val="001C06A9"/>
    <w:rsid w:val="001C5266"/>
    <w:rsid w:val="001D3677"/>
    <w:rsid w:val="001F0C2E"/>
    <w:rsid w:val="00204460"/>
    <w:rsid w:val="002216DF"/>
    <w:rsid w:val="002350C3"/>
    <w:rsid w:val="002470D2"/>
    <w:rsid w:val="0025688F"/>
    <w:rsid w:val="00261B5B"/>
    <w:rsid w:val="002702CC"/>
    <w:rsid w:val="00292E56"/>
    <w:rsid w:val="002947D5"/>
    <w:rsid w:val="00296EAD"/>
    <w:rsid w:val="002A3E66"/>
    <w:rsid w:val="002A4DF4"/>
    <w:rsid w:val="002B3FA3"/>
    <w:rsid w:val="002B5723"/>
    <w:rsid w:val="002C0E43"/>
    <w:rsid w:val="003206F7"/>
    <w:rsid w:val="0032075E"/>
    <w:rsid w:val="00327107"/>
    <w:rsid w:val="00356C07"/>
    <w:rsid w:val="00363999"/>
    <w:rsid w:val="00366305"/>
    <w:rsid w:val="003C513A"/>
    <w:rsid w:val="003D0079"/>
    <w:rsid w:val="003E1D1D"/>
    <w:rsid w:val="003E4E32"/>
    <w:rsid w:val="00412794"/>
    <w:rsid w:val="00423E13"/>
    <w:rsid w:val="00437E0C"/>
    <w:rsid w:val="00452748"/>
    <w:rsid w:val="004739B1"/>
    <w:rsid w:val="004C0514"/>
    <w:rsid w:val="004E0D19"/>
    <w:rsid w:val="004F4FC9"/>
    <w:rsid w:val="00524487"/>
    <w:rsid w:val="00546039"/>
    <w:rsid w:val="0057171D"/>
    <w:rsid w:val="00581597"/>
    <w:rsid w:val="00586FCA"/>
    <w:rsid w:val="005B5365"/>
    <w:rsid w:val="005C5559"/>
    <w:rsid w:val="005D68B1"/>
    <w:rsid w:val="005E0489"/>
    <w:rsid w:val="005E0823"/>
    <w:rsid w:val="005E4CC7"/>
    <w:rsid w:val="005E66D0"/>
    <w:rsid w:val="005E7975"/>
    <w:rsid w:val="005E7F31"/>
    <w:rsid w:val="005F574F"/>
    <w:rsid w:val="00635CB5"/>
    <w:rsid w:val="00657758"/>
    <w:rsid w:val="00661C26"/>
    <w:rsid w:val="00673143"/>
    <w:rsid w:val="00677DA8"/>
    <w:rsid w:val="006C3AF8"/>
    <w:rsid w:val="007551C1"/>
    <w:rsid w:val="00757391"/>
    <w:rsid w:val="00766ADD"/>
    <w:rsid w:val="0078770F"/>
    <w:rsid w:val="007C21DD"/>
    <w:rsid w:val="007D1F77"/>
    <w:rsid w:val="008218AC"/>
    <w:rsid w:val="00842289"/>
    <w:rsid w:val="00855083"/>
    <w:rsid w:val="00856319"/>
    <w:rsid w:val="00884688"/>
    <w:rsid w:val="008A5D94"/>
    <w:rsid w:val="008A697D"/>
    <w:rsid w:val="008D7269"/>
    <w:rsid w:val="008E1A1A"/>
    <w:rsid w:val="00900BD3"/>
    <w:rsid w:val="009234EF"/>
    <w:rsid w:val="00933E38"/>
    <w:rsid w:val="00935D6F"/>
    <w:rsid w:val="00952C6D"/>
    <w:rsid w:val="009740C2"/>
    <w:rsid w:val="00984055"/>
    <w:rsid w:val="00986C98"/>
    <w:rsid w:val="00990418"/>
    <w:rsid w:val="009A1338"/>
    <w:rsid w:val="00A50DEA"/>
    <w:rsid w:val="00AE4248"/>
    <w:rsid w:val="00AF0120"/>
    <w:rsid w:val="00B13ACF"/>
    <w:rsid w:val="00B60A37"/>
    <w:rsid w:val="00B67270"/>
    <w:rsid w:val="00B91936"/>
    <w:rsid w:val="00B94728"/>
    <w:rsid w:val="00BA04F3"/>
    <w:rsid w:val="00BD40BF"/>
    <w:rsid w:val="00BF5E14"/>
    <w:rsid w:val="00C05E03"/>
    <w:rsid w:val="00C07D21"/>
    <w:rsid w:val="00C254E1"/>
    <w:rsid w:val="00C25582"/>
    <w:rsid w:val="00C64FD8"/>
    <w:rsid w:val="00CA6889"/>
    <w:rsid w:val="00CB201F"/>
    <w:rsid w:val="00CD4C3F"/>
    <w:rsid w:val="00CF29A3"/>
    <w:rsid w:val="00D21BB6"/>
    <w:rsid w:val="00D65A1D"/>
    <w:rsid w:val="00D67575"/>
    <w:rsid w:val="00DA342E"/>
    <w:rsid w:val="00DB0930"/>
    <w:rsid w:val="00DB1829"/>
    <w:rsid w:val="00DB5D3C"/>
    <w:rsid w:val="00DC0809"/>
    <w:rsid w:val="00DC11E3"/>
    <w:rsid w:val="00DF5966"/>
    <w:rsid w:val="00E22ADF"/>
    <w:rsid w:val="00E233BC"/>
    <w:rsid w:val="00E318E9"/>
    <w:rsid w:val="00E3714B"/>
    <w:rsid w:val="00E46EC2"/>
    <w:rsid w:val="00E55E79"/>
    <w:rsid w:val="00E72D7E"/>
    <w:rsid w:val="00E843FE"/>
    <w:rsid w:val="00EA7018"/>
    <w:rsid w:val="00EC7E62"/>
    <w:rsid w:val="00F0091C"/>
    <w:rsid w:val="00F22131"/>
    <w:rsid w:val="00F42BE3"/>
    <w:rsid w:val="00F712E9"/>
    <w:rsid w:val="00FB7C64"/>
    <w:rsid w:val="00FC28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9CB1"/>
  <w15:chartTrackingRefBased/>
  <w15:docId w15:val="{A73B16C4-C24F-4FD5-A93F-947E07A08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21BB6"/>
    <w:pPr>
      <w:spacing w:after="200" w:line="276" w:lineRule="auto"/>
    </w:pPr>
    <w:rPr>
      <w:rFonts w:ascii="Verdana" w:eastAsia="Calibri" w:hAnsi="Verdana" w:cs="Arial"/>
      <w:sz w:val="20"/>
      <w:szCs w:val="20"/>
      <w:lang w:eastAsia="pl-PL"/>
    </w:rPr>
  </w:style>
  <w:style w:type="paragraph" w:styleId="Nagwek1">
    <w:name w:val="heading 1"/>
    <w:basedOn w:val="Normalny"/>
    <w:next w:val="Normalny"/>
    <w:link w:val="Nagwek1Znak"/>
    <w:uiPriority w:val="9"/>
    <w:qFormat/>
    <w:rsid w:val="00363999"/>
    <w:pPr>
      <w:keepNext/>
      <w:spacing w:before="120" w:after="120"/>
      <w:outlineLvl w:val="0"/>
    </w:pPr>
    <w:rPr>
      <w:rFonts w:eastAsia="Times New Roman"/>
      <w:b/>
      <w:bCs/>
      <w:kern w:val="32"/>
      <w:szCs w:val="32"/>
    </w:rPr>
  </w:style>
  <w:style w:type="paragraph" w:styleId="Nagwek2">
    <w:name w:val="heading 2"/>
    <w:basedOn w:val="Normalny"/>
    <w:next w:val="Normalny"/>
    <w:link w:val="Nagwek2Znak"/>
    <w:uiPriority w:val="9"/>
    <w:unhideWhenUsed/>
    <w:qFormat/>
    <w:rsid w:val="00363999"/>
    <w:pPr>
      <w:keepNext/>
      <w:spacing w:before="120" w:after="120"/>
      <w:outlineLvl w:val="1"/>
    </w:pPr>
    <w:rPr>
      <w:rFonts w:eastAsia="Times New Roman"/>
      <w:b/>
      <w:bCs/>
      <w:iCs/>
      <w:szCs w:val="28"/>
    </w:rPr>
  </w:style>
  <w:style w:type="paragraph" w:styleId="Nagwek3">
    <w:name w:val="heading 3"/>
    <w:basedOn w:val="Normalny"/>
    <w:next w:val="Normalny"/>
    <w:link w:val="Nagwek3Znak"/>
    <w:uiPriority w:val="9"/>
    <w:semiHidden/>
    <w:unhideWhenUsed/>
    <w:qFormat/>
    <w:rsid w:val="00363999"/>
    <w:pPr>
      <w:keepNext/>
      <w:spacing w:before="240" w:after="60"/>
      <w:outlineLvl w:val="2"/>
    </w:pPr>
    <w:rPr>
      <w:rFonts w:eastAsia="Times New Roman"/>
      <w:b/>
      <w:bCs/>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3999"/>
    <w:rPr>
      <w:rFonts w:ascii="Verdana" w:eastAsia="Times New Roman" w:hAnsi="Verdana" w:cs="Arial"/>
      <w:b/>
      <w:bCs/>
      <w:kern w:val="32"/>
      <w:sz w:val="20"/>
      <w:szCs w:val="32"/>
      <w:lang w:eastAsia="pl-PL"/>
    </w:rPr>
  </w:style>
  <w:style w:type="character" w:customStyle="1" w:styleId="Nagwek2Znak">
    <w:name w:val="Nagłówek 2 Znak"/>
    <w:basedOn w:val="Domylnaczcionkaakapitu"/>
    <w:link w:val="Nagwek2"/>
    <w:uiPriority w:val="9"/>
    <w:rsid w:val="00363999"/>
    <w:rPr>
      <w:rFonts w:ascii="Verdana" w:eastAsia="Times New Roman" w:hAnsi="Verdana" w:cs="Arial"/>
      <w:b/>
      <w:bCs/>
      <w:iCs/>
      <w:sz w:val="20"/>
      <w:szCs w:val="28"/>
      <w:lang w:eastAsia="pl-PL"/>
    </w:rPr>
  </w:style>
  <w:style w:type="character" w:customStyle="1" w:styleId="Nagwek3Znak">
    <w:name w:val="Nagłówek 3 Znak"/>
    <w:basedOn w:val="Domylnaczcionkaakapitu"/>
    <w:link w:val="Nagwek3"/>
    <w:uiPriority w:val="9"/>
    <w:semiHidden/>
    <w:rsid w:val="00363999"/>
    <w:rPr>
      <w:rFonts w:ascii="Verdana" w:eastAsia="Times New Roman" w:hAnsi="Verdana" w:cs="Arial"/>
      <w:b/>
      <w:bCs/>
      <w:sz w:val="20"/>
      <w:szCs w:val="26"/>
      <w:lang w:eastAsia="pl-PL"/>
    </w:rPr>
  </w:style>
  <w:style w:type="paragraph" w:styleId="Akapitzlist">
    <w:name w:val="List Paragraph"/>
    <w:basedOn w:val="Normalny"/>
    <w:uiPriority w:val="34"/>
    <w:qFormat/>
    <w:rsid w:val="00363999"/>
    <w:pPr>
      <w:ind w:left="720"/>
      <w:contextualSpacing/>
    </w:pPr>
  </w:style>
  <w:style w:type="table" w:styleId="Tabela-Siatka">
    <w:name w:val="Table Grid"/>
    <w:basedOn w:val="Standardowy"/>
    <w:uiPriority w:val="59"/>
    <w:rsid w:val="00363999"/>
    <w:pPr>
      <w:spacing w:after="0" w:line="240" w:lineRule="auto"/>
    </w:pPr>
    <w:rPr>
      <w:rFonts w:ascii="Verdana" w:eastAsia="Calibri" w:hAnsi="Verdana"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363999"/>
    <w:rPr>
      <w:sz w:val="16"/>
      <w:szCs w:val="16"/>
    </w:rPr>
  </w:style>
  <w:style w:type="paragraph" w:styleId="Tekstkomentarza">
    <w:name w:val="annotation text"/>
    <w:basedOn w:val="Normalny"/>
    <w:link w:val="TekstkomentarzaZnak"/>
    <w:uiPriority w:val="99"/>
    <w:semiHidden/>
    <w:unhideWhenUsed/>
    <w:rsid w:val="00363999"/>
  </w:style>
  <w:style w:type="character" w:customStyle="1" w:styleId="TekstkomentarzaZnak">
    <w:name w:val="Tekst komentarza Znak"/>
    <w:basedOn w:val="Domylnaczcionkaakapitu"/>
    <w:link w:val="Tekstkomentarza"/>
    <w:uiPriority w:val="99"/>
    <w:semiHidden/>
    <w:rsid w:val="00363999"/>
    <w:rPr>
      <w:rFonts w:ascii="Verdana" w:eastAsia="Calibri" w:hAnsi="Verdana"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363999"/>
    <w:rPr>
      <w:b/>
      <w:bCs/>
    </w:rPr>
  </w:style>
  <w:style w:type="character" w:customStyle="1" w:styleId="TematkomentarzaZnak">
    <w:name w:val="Temat komentarza Znak"/>
    <w:basedOn w:val="TekstkomentarzaZnak"/>
    <w:link w:val="Tematkomentarza"/>
    <w:uiPriority w:val="99"/>
    <w:semiHidden/>
    <w:rsid w:val="00363999"/>
    <w:rPr>
      <w:rFonts w:ascii="Verdana" w:eastAsia="Calibri" w:hAnsi="Verdana" w:cs="Arial"/>
      <w:b/>
      <w:bCs/>
      <w:sz w:val="20"/>
      <w:szCs w:val="20"/>
      <w:lang w:eastAsia="pl-PL"/>
    </w:rPr>
  </w:style>
  <w:style w:type="paragraph" w:styleId="Tekstdymka">
    <w:name w:val="Balloon Text"/>
    <w:basedOn w:val="Normalny"/>
    <w:link w:val="TekstdymkaZnak"/>
    <w:uiPriority w:val="99"/>
    <w:semiHidden/>
    <w:unhideWhenUsed/>
    <w:rsid w:val="0036399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63999"/>
    <w:rPr>
      <w:rFonts w:ascii="Tahoma" w:eastAsia="Calibri" w:hAnsi="Tahoma" w:cs="Tahoma"/>
      <w:sz w:val="16"/>
      <w:szCs w:val="16"/>
      <w:lang w:eastAsia="pl-PL"/>
    </w:rPr>
  </w:style>
  <w:style w:type="paragraph" w:styleId="Nagwek">
    <w:name w:val="header"/>
    <w:basedOn w:val="Normalny"/>
    <w:link w:val="NagwekZnak"/>
    <w:uiPriority w:val="99"/>
    <w:unhideWhenUsed/>
    <w:rsid w:val="00363999"/>
    <w:pPr>
      <w:tabs>
        <w:tab w:val="center" w:pos="4536"/>
        <w:tab w:val="right" w:pos="9072"/>
      </w:tabs>
    </w:pPr>
  </w:style>
  <w:style w:type="character" w:customStyle="1" w:styleId="NagwekZnak">
    <w:name w:val="Nagłówek Znak"/>
    <w:basedOn w:val="Domylnaczcionkaakapitu"/>
    <w:link w:val="Nagwek"/>
    <w:uiPriority w:val="99"/>
    <w:rsid w:val="00363999"/>
    <w:rPr>
      <w:rFonts w:ascii="Verdana" w:eastAsia="Calibri" w:hAnsi="Verdana" w:cs="Arial"/>
      <w:sz w:val="20"/>
      <w:szCs w:val="20"/>
      <w:lang w:eastAsia="pl-PL"/>
    </w:rPr>
  </w:style>
  <w:style w:type="paragraph" w:styleId="Stopka">
    <w:name w:val="footer"/>
    <w:basedOn w:val="Normalny"/>
    <w:link w:val="StopkaZnak"/>
    <w:uiPriority w:val="99"/>
    <w:unhideWhenUsed/>
    <w:rsid w:val="00363999"/>
    <w:pPr>
      <w:tabs>
        <w:tab w:val="center" w:pos="4536"/>
        <w:tab w:val="right" w:pos="9072"/>
      </w:tabs>
    </w:pPr>
  </w:style>
  <w:style w:type="character" w:customStyle="1" w:styleId="StopkaZnak">
    <w:name w:val="Stopka Znak"/>
    <w:basedOn w:val="Domylnaczcionkaakapitu"/>
    <w:link w:val="Stopka"/>
    <w:uiPriority w:val="99"/>
    <w:rsid w:val="00363999"/>
    <w:rPr>
      <w:rFonts w:ascii="Verdana" w:eastAsia="Calibri" w:hAnsi="Verdana" w:cs="Arial"/>
      <w:sz w:val="20"/>
      <w:szCs w:val="20"/>
      <w:lang w:eastAsia="pl-PL"/>
    </w:rPr>
  </w:style>
  <w:style w:type="paragraph" w:styleId="Nagwekspisutreci">
    <w:name w:val="TOC Heading"/>
    <w:basedOn w:val="Nagwek1"/>
    <w:next w:val="Normalny"/>
    <w:uiPriority w:val="39"/>
    <w:unhideWhenUsed/>
    <w:qFormat/>
    <w:rsid w:val="00363999"/>
    <w:pPr>
      <w:keepLines/>
      <w:spacing w:before="480" w:after="0"/>
      <w:outlineLvl w:val="9"/>
    </w:pPr>
    <w:rPr>
      <w:color w:val="365F91"/>
      <w:kern w:val="0"/>
      <w:sz w:val="28"/>
      <w:szCs w:val="28"/>
    </w:rPr>
  </w:style>
  <w:style w:type="paragraph" w:styleId="Spistreci1">
    <w:name w:val="toc 1"/>
    <w:basedOn w:val="Normalny"/>
    <w:next w:val="Normalny"/>
    <w:autoRedefine/>
    <w:uiPriority w:val="39"/>
    <w:unhideWhenUsed/>
    <w:qFormat/>
    <w:rsid w:val="00363999"/>
    <w:pPr>
      <w:tabs>
        <w:tab w:val="left" w:pos="426"/>
        <w:tab w:val="right" w:leader="dot" w:pos="9072"/>
      </w:tabs>
    </w:pPr>
  </w:style>
  <w:style w:type="character" w:styleId="Hipercze">
    <w:name w:val="Hyperlink"/>
    <w:uiPriority w:val="99"/>
    <w:unhideWhenUsed/>
    <w:rsid w:val="00363999"/>
    <w:rPr>
      <w:color w:val="0000FF"/>
      <w:u w:val="single"/>
    </w:rPr>
  </w:style>
  <w:style w:type="paragraph" w:styleId="Spistreci2">
    <w:name w:val="toc 2"/>
    <w:basedOn w:val="Normalny"/>
    <w:next w:val="Normalny"/>
    <w:autoRedefine/>
    <w:uiPriority w:val="39"/>
    <w:unhideWhenUsed/>
    <w:qFormat/>
    <w:rsid w:val="00363999"/>
    <w:pPr>
      <w:tabs>
        <w:tab w:val="left" w:pos="660"/>
        <w:tab w:val="right" w:leader="dot" w:pos="9060"/>
      </w:tabs>
      <w:spacing w:before="80" w:after="0"/>
      <w:ind w:left="220" w:hanging="78"/>
    </w:pPr>
    <w:rPr>
      <w:rFonts w:eastAsia="Times New Roman"/>
    </w:rPr>
  </w:style>
  <w:style w:type="paragraph" w:styleId="Spistreci3">
    <w:name w:val="toc 3"/>
    <w:basedOn w:val="Normalny"/>
    <w:next w:val="Normalny"/>
    <w:autoRedefine/>
    <w:uiPriority w:val="39"/>
    <w:semiHidden/>
    <w:unhideWhenUsed/>
    <w:qFormat/>
    <w:rsid w:val="00363999"/>
    <w:pPr>
      <w:spacing w:after="100"/>
      <w:ind w:left="440"/>
    </w:pPr>
    <w:rPr>
      <w:rFonts w:eastAsia="Times New Roman"/>
    </w:rPr>
  </w:style>
  <w:style w:type="character" w:styleId="Tekstzastpczy">
    <w:name w:val="Placeholder Text"/>
    <w:basedOn w:val="Domylnaczcionkaakapitu"/>
    <w:uiPriority w:val="99"/>
    <w:semiHidden/>
    <w:rsid w:val="00363999"/>
    <w:rPr>
      <w:color w:val="808080"/>
    </w:rPr>
  </w:style>
  <w:style w:type="table" w:customStyle="1" w:styleId="TableGrid">
    <w:name w:val="TableGrid"/>
    <w:rsid w:val="0036399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Poprawka">
    <w:name w:val="Revision"/>
    <w:hidden/>
    <w:uiPriority w:val="99"/>
    <w:semiHidden/>
    <w:rsid w:val="00363999"/>
    <w:pPr>
      <w:spacing w:after="0" w:line="240" w:lineRule="auto"/>
    </w:pPr>
    <w:rPr>
      <w:rFonts w:ascii="Verdana" w:eastAsia="Calibri" w:hAnsi="Verdana" w:cs="Arial"/>
      <w:sz w:val="20"/>
      <w:szCs w:val="20"/>
      <w:lang w:eastAsia="pl-PL"/>
    </w:rPr>
  </w:style>
  <w:style w:type="table" w:customStyle="1" w:styleId="Siatkatabelijasna1">
    <w:name w:val="Siatka tabeli — jasna1"/>
    <w:basedOn w:val="Standardowy"/>
    <w:uiPriority w:val="40"/>
    <w:rsid w:val="00363999"/>
    <w:pPr>
      <w:spacing w:after="0" w:line="240" w:lineRule="auto"/>
    </w:pPr>
    <w:rPr>
      <w:rFonts w:ascii="Verdana" w:eastAsia="Calibri" w:hAnsi="Verdana" w:cs="Arial"/>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rzypisudolnego">
    <w:name w:val="footnote text"/>
    <w:basedOn w:val="Normalny"/>
    <w:link w:val="TekstprzypisudolnegoZnak"/>
    <w:uiPriority w:val="99"/>
    <w:semiHidden/>
    <w:unhideWhenUsed/>
    <w:rsid w:val="00363999"/>
    <w:pPr>
      <w:spacing w:after="0" w:line="240" w:lineRule="auto"/>
    </w:pPr>
  </w:style>
  <w:style w:type="character" w:customStyle="1" w:styleId="TekstprzypisudolnegoZnak">
    <w:name w:val="Tekst przypisu dolnego Znak"/>
    <w:basedOn w:val="Domylnaczcionkaakapitu"/>
    <w:link w:val="Tekstprzypisudolnego"/>
    <w:uiPriority w:val="99"/>
    <w:semiHidden/>
    <w:rsid w:val="00363999"/>
    <w:rPr>
      <w:rFonts w:ascii="Verdana" w:eastAsia="Calibri" w:hAnsi="Verdana" w:cs="Arial"/>
      <w:sz w:val="20"/>
      <w:szCs w:val="20"/>
      <w:lang w:eastAsia="pl-PL"/>
    </w:rPr>
  </w:style>
  <w:style w:type="character" w:styleId="Odwoanieprzypisudolnego">
    <w:name w:val="footnote reference"/>
    <w:basedOn w:val="Domylnaczcionkaakapitu"/>
    <w:uiPriority w:val="99"/>
    <w:semiHidden/>
    <w:unhideWhenUsed/>
    <w:rsid w:val="00363999"/>
    <w:rPr>
      <w:vertAlign w:val="superscript"/>
    </w:rPr>
  </w:style>
  <w:style w:type="character" w:styleId="Pogrubienie">
    <w:name w:val="Strong"/>
    <w:basedOn w:val="Domylnaczcionkaakapitu"/>
    <w:uiPriority w:val="22"/>
    <w:qFormat/>
    <w:rsid w:val="00363999"/>
    <w:rPr>
      <w:b/>
      <w:bCs/>
    </w:rPr>
  </w:style>
  <w:style w:type="table" w:customStyle="1" w:styleId="Tabela-Siatka4">
    <w:name w:val="Tabela - Siatka4"/>
    <w:basedOn w:val="Standardowy"/>
    <w:next w:val="Tabela-Siatka"/>
    <w:uiPriority w:val="59"/>
    <w:rsid w:val="008563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23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13D7C-B799-4A7E-8B51-CF8DA8404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4797</Words>
  <Characters>28782</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 Bartosz</dc:creator>
  <cp:keywords/>
  <dc:description/>
  <cp:lastModifiedBy>Biegalski Michał</cp:lastModifiedBy>
  <cp:revision>4</cp:revision>
  <cp:lastPrinted>2020-01-07T13:58:00Z</cp:lastPrinted>
  <dcterms:created xsi:type="dcterms:W3CDTF">2020-04-06T07:14:00Z</dcterms:created>
  <dcterms:modified xsi:type="dcterms:W3CDTF">2020-04-06T11:28:00Z</dcterms:modified>
</cp:coreProperties>
</file>